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84F8A" w:rsidRDefault="0004147B" w:rsidP="0004147B">
      <w:pPr>
        <w:pStyle w:val="Heading1"/>
      </w:pPr>
      <w:bookmarkStart w:id="0" w:name="_Toc98324651"/>
      <w:bookmarkStart w:id="1" w:name="_Toc100307173"/>
      <w:bookmarkStart w:id="2" w:name="_Toc100307321"/>
      <w:bookmarkStart w:id="3" w:name="_Toc100318527"/>
      <w:bookmarkStart w:id="4" w:name="_Toc100320535"/>
      <w:bookmarkStart w:id="5" w:name="_Toc100341017"/>
      <w:bookmarkStart w:id="6" w:name="_Toc105665197"/>
      <w:bookmarkStart w:id="7" w:name="_GoBack"/>
      <w:bookmarkEnd w:id="7"/>
      <w:r>
        <w:t>Appendices</w:t>
      </w:r>
      <w:bookmarkEnd w:id="0"/>
      <w:bookmarkEnd w:id="1"/>
      <w:bookmarkEnd w:id="2"/>
      <w:bookmarkEnd w:id="3"/>
      <w:bookmarkEnd w:id="4"/>
      <w:bookmarkEnd w:id="5"/>
      <w:bookmarkEnd w:id="6"/>
    </w:p>
    <w:p w:rsidR="0004147B" w:rsidRDefault="0004147B" w:rsidP="0004147B"/>
    <w:sdt>
      <w:sdtPr>
        <w:id w:val="1242674588"/>
        <w:docPartObj>
          <w:docPartGallery w:val="Table of Contents"/>
          <w:docPartUnique/>
        </w:docPartObj>
      </w:sdtPr>
      <w:sdtEndPr>
        <w:rPr>
          <w:b/>
          <w:bCs/>
          <w:noProof/>
        </w:rPr>
      </w:sdtEndPr>
      <w:sdtContent>
        <w:p w:rsidR="00852E56" w:rsidRDefault="0004147B">
          <w:pPr>
            <w:pStyle w:val="TOC1"/>
            <w:tabs>
              <w:tab w:val="right" w:leader="dot" w:pos="9016"/>
            </w:tabs>
            <w:rPr>
              <w:rFonts w:asciiTheme="minorHAnsi" w:eastAsiaTheme="minorEastAsia" w:hAnsiTheme="minorHAnsi"/>
              <w:noProof/>
              <w:sz w:val="22"/>
              <w:lang w:eastAsia="en-GB"/>
            </w:rPr>
          </w:pPr>
          <w:r>
            <w:fldChar w:fldCharType="begin"/>
          </w:r>
          <w:r>
            <w:instrText xml:space="preserve"> TOC \o "1-3" \h \z \u </w:instrText>
          </w:r>
          <w:r>
            <w:fldChar w:fldCharType="separate"/>
          </w:r>
          <w:hyperlink w:anchor="_Toc105665197" w:history="1">
            <w:r w:rsidR="00852E56" w:rsidRPr="001C76C8">
              <w:rPr>
                <w:rStyle w:val="Hyperlink"/>
                <w:noProof/>
              </w:rPr>
              <w:t>Appendices</w:t>
            </w:r>
            <w:r w:rsidR="00852E56">
              <w:rPr>
                <w:noProof/>
                <w:webHidden/>
              </w:rPr>
              <w:tab/>
            </w:r>
            <w:r w:rsidR="00852E56">
              <w:rPr>
                <w:noProof/>
                <w:webHidden/>
              </w:rPr>
              <w:fldChar w:fldCharType="begin"/>
            </w:r>
            <w:r w:rsidR="00852E56">
              <w:rPr>
                <w:noProof/>
                <w:webHidden/>
              </w:rPr>
              <w:instrText xml:space="preserve"> PAGEREF _Toc105665197 \h </w:instrText>
            </w:r>
            <w:r w:rsidR="00852E56">
              <w:rPr>
                <w:noProof/>
                <w:webHidden/>
              </w:rPr>
            </w:r>
            <w:r w:rsidR="00852E56">
              <w:rPr>
                <w:noProof/>
                <w:webHidden/>
              </w:rPr>
              <w:fldChar w:fldCharType="separate"/>
            </w:r>
            <w:r w:rsidR="00AD2DD3">
              <w:rPr>
                <w:noProof/>
                <w:webHidden/>
              </w:rPr>
              <w:t>1</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198" w:history="1">
            <w:r w:rsidR="00852E56" w:rsidRPr="001C76C8">
              <w:rPr>
                <w:rStyle w:val="Hyperlink"/>
                <w:noProof/>
              </w:rPr>
              <w:t>Appendix A:  JISC OBC Approval</w:t>
            </w:r>
            <w:r w:rsidR="00852E56">
              <w:rPr>
                <w:noProof/>
                <w:webHidden/>
              </w:rPr>
              <w:tab/>
            </w:r>
            <w:r w:rsidR="00852E56">
              <w:rPr>
                <w:noProof/>
                <w:webHidden/>
              </w:rPr>
              <w:fldChar w:fldCharType="begin"/>
            </w:r>
            <w:r w:rsidR="00852E56">
              <w:rPr>
                <w:noProof/>
                <w:webHidden/>
              </w:rPr>
              <w:instrText xml:space="preserve"> PAGEREF _Toc105665198 \h </w:instrText>
            </w:r>
            <w:r w:rsidR="00852E56">
              <w:rPr>
                <w:noProof/>
                <w:webHidden/>
              </w:rPr>
            </w:r>
            <w:r w:rsidR="00852E56">
              <w:rPr>
                <w:noProof/>
                <w:webHidden/>
              </w:rPr>
              <w:fldChar w:fldCharType="separate"/>
            </w:r>
            <w:r w:rsidR="00AD2DD3">
              <w:rPr>
                <w:noProof/>
                <w:webHidden/>
              </w:rPr>
              <w:t>3</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199" w:history="1">
            <w:r w:rsidR="00852E56" w:rsidRPr="001C76C8">
              <w:rPr>
                <w:rStyle w:val="Hyperlink"/>
                <w:noProof/>
                <w:lang w:eastAsia="en-GB"/>
              </w:rPr>
              <w:t>Appendix B:  Letters of Support from Healthcare System</w:t>
            </w:r>
            <w:r w:rsidR="00852E56">
              <w:rPr>
                <w:noProof/>
                <w:webHidden/>
              </w:rPr>
              <w:tab/>
            </w:r>
            <w:r w:rsidR="00852E56">
              <w:rPr>
                <w:noProof/>
                <w:webHidden/>
              </w:rPr>
              <w:fldChar w:fldCharType="begin"/>
            </w:r>
            <w:r w:rsidR="00852E56">
              <w:rPr>
                <w:noProof/>
                <w:webHidden/>
              </w:rPr>
              <w:instrText xml:space="preserve"> PAGEREF _Toc105665199 \h </w:instrText>
            </w:r>
            <w:r w:rsidR="00852E56">
              <w:rPr>
                <w:noProof/>
                <w:webHidden/>
              </w:rPr>
            </w:r>
            <w:r w:rsidR="00852E56">
              <w:rPr>
                <w:noProof/>
                <w:webHidden/>
              </w:rPr>
              <w:fldChar w:fldCharType="separate"/>
            </w:r>
            <w:r w:rsidR="00AD2DD3">
              <w:rPr>
                <w:noProof/>
                <w:webHidden/>
              </w:rPr>
              <w:t>12</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00" w:history="1">
            <w:r w:rsidR="00852E56" w:rsidRPr="001C76C8">
              <w:rPr>
                <w:rStyle w:val="Hyperlink"/>
                <w:noProof/>
                <w:lang w:eastAsia="en-GB"/>
              </w:rPr>
              <w:t>Appendix C:  NHSI Capital Business Case Core Checklist</w:t>
            </w:r>
            <w:r w:rsidR="00852E56">
              <w:rPr>
                <w:noProof/>
                <w:webHidden/>
              </w:rPr>
              <w:tab/>
            </w:r>
            <w:r w:rsidR="00852E56">
              <w:rPr>
                <w:noProof/>
                <w:webHidden/>
              </w:rPr>
              <w:fldChar w:fldCharType="begin"/>
            </w:r>
            <w:r w:rsidR="00852E56">
              <w:rPr>
                <w:noProof/>
                <w:webHidden/>
              </w:rPr>
              <w:instrText xml:space="preserve"> PAGEREF _Toc105665200 \h </w:instrText>
            </w:r>
            <w:r w:rsidR="00852E56">
              <w:rPr>
                <w:noProof/>
                <w:webHidden/>
              </w:rPr>
            </w:r>
            <w:r w:rsidR="00852E56">
              <w:rPr>
                <w:noProof/>
                <w:webHidden/>
              </w:rPr>
              <w:fldChar w:fldCharType="separate"/>
            </w:r>
            <w:r w:rsidR="00AD2DD3">
              <w:rPr>
                <w:noProof/>
                <w:webHidden/>
              </w:rPr>
              <w:t>16</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01" w:history="1">
            <w:r w:rsidR="00852E56" w:rsidRPr="001C76C8">
              <w:rPr>
                <w:rStyle w:val="Hyperlink"/>
                <w:rFonts w:eastAsia="Times New Roman"/>
                <w:noProof/>
              </w:rPr>
              <w:t>Appendix D:  Excerpt from Public Trust Board Minutes 4</w:t>
            </w:r>
            <w:r w:rsidR="00852E56" w:rsidRPr="001C76C8">
              <w:rPr>
                <w:rStyle w:val="Hyperlink"/>
                <w:rFonts w:eastAsia="Times New Roman"/>
                <w:noProof/>
                <w:vertAlign w:val="superscript"/>
              </w:rPr>
              <w:t>th</w:t>
            </w:r>
            <w:r w:rsidR="00852E56" w:rsidRPr="001C76C8">
              <w:rPr>
                <w:rStyle w:val="Hyperlink"/>
                <w:rFonts w:eastAsia="Times New Roman"/>
                <w:noProof/>
              </w:rPr>
              <w:t xml:space="preserve"> August 2020</w:t>
            </w:r>
            <w:r w:rsidR="00852E56">
              <w:rPr>
                <w:noProof/>
                <w:webHidden/>
              </w:rPr>
              <w:tab/>
            </w:r>
            <w:r w:rsidR="00852E56">
              <w:rPr>
                <w:noProof/>
                <w:webHidden/>
              </w:rPr>
              <w:fldChar w:fldCharType="begin"/>
            </w:r>
            <w:r w:rsidR="00852E56">
              <w:rPr>
                <w:noProof/>
                <w:webHidden/>
              </w:rPr>
              <w:instrText xml:space="preserve"> PAGEREF _Toc105665201 \h </w:instrText>
            </w:r>
            <w:r w:rsidR="00852E56">
              <w:rPr>
                <w:noProof/>
                <w:webHidden/>
              </w:rPr>
            </w:r>
            <w:r w:rsidR="00852E56">
              <w:rPr>
                <w:noProof/>
                <w:webHidden/>
              </w:rPr>
              <w:fldChar w:fldCharType="separate"/>
            </w:r>
            <w:r w:rsidR="00AD2DD3">
              <w:rPr>
                <w:noProof/>
                <w:webHidden/>
              </w:rPr>
              <w:t>17</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02" w:history="1">
            <w:r w:rsidR="00852E56" w:rsidRPr="001C76C8">
              <w:rPr>
                <w:rStyle w:val="Hyperlink"/>
                <w:rFonts w:eastAsia="Times New Roman"/>
                <w:noProof/>
                <w:lang w:eastAsia="en-GB"/>
              </w:rPr>
              <w:t>Appendix E:  Addendum to the OBC following Discussions with Regional NHSE&amp;I Teams</w:t>
            </w:r>
            <w:r w:rsidR="00852E56">
              <w:rPr>
                <w:noProof/>
                <w:webHidden/>
              </w:rPr>
              <w:tab/>
            </w:r>
            <w:r w:rsidR="00852E56">
              <w:rPr>
                <w:noProof/>
                <w:webHidden/>
              </w:rPr>
              <w:fldChar w:fldCharType="begin"/>
            </w:r>
            <w:r w:rsidR="00852E56">
              <w:rPr>
                <w:noProof/>
                <w:webHidden/>
              </w:rPr>
              <w:instrText xml:space="preserve"> PAGEREF _Toc105665202 \h </w:instrText>
            </w:r>
            <w:r w:rsidR="00852E56">
              <w:rPr>
                <w:noProof/>
                <w:webHidden/>
              </w:rPr>
            </w:r>
            <w:r w:rsidR="00852E56">
              <w:rPr>
                <w:noProof/>
                <w:webHidden/>
              </w:rPr>
              <w:fldChar w:fldCharType="separate"/>
            </w:r>
            <w:r w:rsidR="00AD2DD3">
              <w:rPr>
                <w:noProof/>
                <w:webHidden/>
              </w:rPr>
              <w:t>19</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03" w:history="1">
            <w:r w:rsidR="00852E56" w:rsidRPr="001C76C8">
              <w:rPr>
                <w:rStyle w:val="Hyperlink"/>
                <w:noProof/>
                <w:lang w:eastAsia="en-GB"/>
              </w:rPr>
              <w:t>Appendix F:  Planning</w:t>
            </w:r>
            <w:r w:rsidR="00852E56">
              <w:rPr>
                <w:noProof/>
                <w:webHidden/>
              </w:rPr>
              <w:tab/>
            </w:r>
            <w:r w:rsidR="00852E56">
              <w:rPr>
                <w:noProof/>
                <w:webHidden/>
              </w:rPr>
              <w:fldChar w:fldCharType="begin"/>
            </w:r>
            <w:r w:rsidR="00852E56">
              <w:rPr>
                <w:noProof/>
                <w:webHidden/>
              </w:rPr>
              <w:instrText xml:space="preserve"> PAGEREF _Toc105665203 \h </w:instrText>
            </w:r>
            <w:r w:rsidR="00852E56">
              <w:rPr>
                <w:noProof/>
                <w:webHidden/>
              </w:rPr>
            </w:r>
            <w:r w:rsidR="00852E56">
              <w:rPr>
                <w:noProof/>
                <w:webHidden/>
              </w:rPr>
              <w:fldChar w:fldCharType="separate"/>
            </w:r>
            <w:r w:rsidR="00AD2DD3">
              <w:rPr>
                <w:noProof/>
                <w:webHidden/>
              </w:rPr>
              <w:t>27</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04" w:history="1">
            <w:r w:rsidR="00852E56" w:rsidRPr="001C76C8">
              <w:rPr>
                <w:rStyle w:val="Hyperlink"/>
                <w:noProof/>
                <w:lang w:eastAsia="en-GB"/>
              </w:rPr>
              <w:t>Appendix G:  National and Local Strategies</w:t>
            </w:r>
            <w:r w:rsidR="00852E56">
              <w:rPr>
                <w:noProof/>
                <w:webHidden/>
              </w:rPr>
              <w:tab/>
            </w:r>
            <w:r w:rsidR="00852E56">
              <w:rPr>
                <w:noProof/>
                <w:webHidden/>
              </w:rPr>
              <w:fldChar w:fldCharType="begin"/>
            </w:r>
            <w:r w:rsidR="00852E56">
              <w:rPr>
                <w:noProof/>
                <w:webHidden/>
              </w:rPr>
              <w:instrText xml:space="preserve"> PAGEREF _Toc105665204 \h </w:instrText>
            </w:r>
            <w:r w:rsidR="00852E56">
              <w:rPr>
                <w:noProof/>
                <w:webHidden/>
              </w:rPr>
            </w:r>
            <w:r w:rsidR="00852E56">
              <w:rPr>
                <w:noProof/>
                <w:webHidden/>
              </w:rPr>
              <w:fldChar w:fldCharType="separate"/>
            </w:r>
            <w:r w:rsidR="00AD2DD3">
              <w:rPr>
                <w:noProof/>
                <w:webHidden/>
              </w:rPr>
              <w:t>39</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05" w:history="1">
            <w:r w:rsidR="00852E56" w:rsidRPr="001C76C8">
              <w:rPr>
                <w:rStyle w:val="Hyperlink"/>
                <w:noProof/>
                <w:lang w:eastAsia="en-GB"/>
              </w:rPr>
              <w:t>Appendix H:  ULHT Estates Strategy</w:t>
            </w:r>
            <w:r w:rsidR="00852E56">
              <w:rPr>
                <w:noProof/>
                <w:webHidden/>
              </w:rPr>
              <w:tab/>
            </w:r>
            <w:r w:rsidR="00852E56">
              <w:rPr>
                <w:noProof/>
                <w:webHidden/>
              </w:rPr>
              <w:fldChar w:fldCharType="begin"/>
            </w:r>
            <w:r w:rsidR="00852E56">
              <w:rPr>
                <w:noProof/>
                <w:webHidden/>
              </w:rPr>
              <w:instrText xml:space="preserve"> PAGEREF _Toc105665205 \h </w:instrText>
            </w:r>
            <w:r w:rsidR="00852E56">
              <w:rPr>
                <w:noProof/>
                <w:webHidden/>
              </w:rPr>
            </w:r>
            <w:r w:rsidR="00852E56">
              <w:rPr>
                <w:noProof/>
                <w:webHidden/>
              </w:rPr>
              <w:fldChar w:fldCharType="separate"/>
            </w:r>
            <w:r w:rsidR="00AD2DD3">
              <w:rPr>
                <w:noProof/>
                <w:webHidden/>
              </w:rPr>
              <w:t>49</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26" w:history="1">
            <w:r w:rsidR="00852E56" w:rsidRPr="001C76C8">
              <w:rPr>
                <w:rStyle w:val="Hyperlink"/>
                <w:rFonts w:eastAsia="Calibri"/>
                <w:noProof/>
              </w:rPr>
              <w:t>Appendix I:  Cabinet Office Risk Potential Assessment</w:t>
            </w:r>
            <w:r w:rsidR="00852E56">
              <w:rPr>
                <w:noProof/>
                <w:webHidden/>
              </w:rPr>
              <w:tab/>
            </w:r>
            <w:r w:rsidR="00852E56">
              <w:rPr>
                <w:noProof/>
                <w:webHidden/>
              </w:rPr>
              <w:fldChar w:fldCharType="begin"/>
            </w:r>
            <w:r w:rsidR="00852E56">
              <w:rPr>
                <w:noProof/>
                <w:webHidden/>
              </w:rPr>
              <w:instrText xml:space="preserve"> PAGEREF _Toc105665226 \h </w:instrText>
            </w:r>
            <w:r w:rsidR="00852E56">
              <w:rPr>
                <w:noProof/>
                <w:webHidden/>
              </w:rPr>
            </w:r>
            <w:r w:rsidR="00852E56">
              <w:rPr>
                <w:noProof/>
                <w:webHidden/>
              </w:rPr>
              <w:fldChar w:fldCharType="separate"/>
            </w:r>
            <w:r w:rsidR="00AD2DD3">
              <w:rPr>
                <w:noProof/>
                <w:webHidden/>
              </w:rPr>
              <w:t>100</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27" w:history="1">
            <w:r w:rsidR="00852E56" w:rsidRPr="001C76C8">
              <w:rPr>
                <w:rStyle w:val="Hyperlink"/>
                <w:noProof/>
              </w:rPr>
              <w:t>Appendix J:  Evaluation of Possible Site Options</w:t>
            </w:r>
            <w:r w:rsidR="00852E56">
              <w:rPr>
                <w:noProof/>
                <w:webHidden/>
              </w:rPr>
              <w:tab/>
            </w:r>
            <w:r w:rsidR="00852E56">
              <w:rPr>
                <w:noProof/>
                <w:webHidden/>
              </w:rPr>
              <w:fldChar w:fldCharType="begin"/>
            </w:r>
            <w:r w:rsidR="00852E56">
              <w:rPr>
                <w:noProof/>
                <w:webHidden/>
              </w:rPr>
              <w:instrText xml:space="preserve"> PAGEREF _Toc105665227 \h </w:instrText>
            </w:r>
            <w:r w:rsidR="00852E56">
              <w:rPr>
                <w:noProof/>
                <w:webHidden/>
              </w:rPr>
            </w:r>
            <w:r w:rsidR="00852E56">
              <w:rPr>
                <w:noProof/>
                <w:webHidden/>
              </w:rPr>
              <w:fldChar w:fldCharType="separate"/>
            </w:r>
            <w:r w:rsidR="00AD2DD3">
              <w:rPr>
                <w:noProof/>
                <w:webHidden/>
              </w:rPr>
              <w:t>115</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28" w:history="1">
            <w:r w:rsidR="00852E56" w:rsidRPr="001C76C8">
              <w:rPr>
                <w:rStyle w:val="Hyperlink"/>
                <w:noProof/>
              </w:rPr>
              <w:t>Appendix K:  Clinical Model Options</w:t>
            </w:r>
            <w:r w:rsidR="00852E56">
              <w:rPr>
                <w:noProof/>
                <w:webHidden/>
              </w:rPr>
              <w:tab/>
            </w:r>
            <w:r w:rsidR="00852E56">
              <w:rPr>
                <w:noProof/>
                <w:webHidden/>
              </w:rPr>
              <w:fldChar w:fldCharType="begin"/>
            </w:r>
            <w:r w:rsidR="00852E56">
              <w:rPr>
                <w:noProof/>
                <w:webHidden/>
              </w:rPr>
              <w:instrText xml:space="preserve"> PAGEREF _Toc105665228 \h </w:instrText>
            </w:r>
            <w:r w:rsidR="00852E56">
              <w:rPr>
                <w:noProof/>
                <w:webHidden/>
              </w:rPr>
            </w:r>
            <w:r w:rsidR="00852E56">
              <w:rPr>
                <w:noProof/>
                <w:webHidden/>
              </w:rPr>
              <w:fldChar w:fldCharType="separate"/>
            </w:r>
            <w:r w:rsidR="00AD2DD3">
              <w:rPr>
                <w:noProof/>
                <w:webHidden/>
              </w:rPr>
              <w:t>130</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29" w:history="1">
            <w:r w:rsidR="00852E56" w:rsidRPr="001C76C8">
              <w:rPr>
                <w:rStyle w:val="Hyperlink"/>
                <w:noProof/>
                <w:lang w:eastAsia="en-GB"/>
              </w:rPr>
              <w:t>Appendix L:  pathology Solution for Pilgrim Hospital Urgent Care Project</w:t>
            </w:r>
            <w:r w:rsidR="00852E56">
              <w:rPr>
                <w:noProof/>
                <w:webHidden/>
              </w:rPr>
              <w:tab/>
            </w:r>
            <w:r w:rsidR="00852E56">
              <w:rPr>
                <w:noProof/>
                <w:webHidden/>
              </w:rPr>
              <w:fldChar w:fldCharType="begin"/>
            </w:r>
            <w:r w:rsidR="00852E56">
              <w:rPr>
                <w:noProof/>
                <w:webHidden/>
              </w:rPr>
              <w:instrText xml:space="preserve"> PAGEREF _Toc105665229 \h </w:instrText>
            </w:r>
            <w:r w:rsidR="00852E56">
              <w:rPr>
                <w:noProof/>
                <w:webHidden/>
              </w:rPr>
            </w:r>
            <w:r w:rsidR="00852E56">
              <w:rPr>
                <w:noProof/>
                <w:webHidden/>
              </w:rPr>
              <w:fldChar w:fldCharType="separate"/>
            </w:r>
            <w:r w:rsidR="00AD2DD3">
              <w:rPr>
                <w:noProof/>
                <w:webHidden/>
              </w:rPr>
              <w:t>134</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42" w:history="1">
            <w:r w:rsidR="00852E56" w:rsidRPr="001C76C8">
              <w:rPr>
                <w:rStyle w:val="Hyperlink"/>
                <w:noProof/>
              </w:rPr>
              <w:t>Appendix M:  Medicine Division Staffing Plan</w:t>
            </w:r>
            <w:r w:rsidR="00852E56">
              <w:rPr>
                <w:noProof/>
                <w:webHidden/>
              </w:rPr>
              <w:tab/>
            </w:r>
            <w:r w:rsidR="00852E56">
              <w:rPr>
                <w:noProof/>
                <w:webHidden/>
              </w:rPr>
              <w:fldChar w:fldCharType="begin"/>
            </w:r>
            <w:r w:rsidR="00852E56">
              <w:rPr>
                <w:noProof/>
                <w:webHidden/>
              </w:rPr>
              <w:instrText xml:space="preserve"> PAGEREF _Toc105665242 \h </w:instrText>
            </w:r>
            <w:r w:rsidR="00852E56">
              <w:rPr>
                <w:noProof/>
                <w:webHidden/>
              </w:rPr>
            </w:r>
            <w:r w:rsidR="00852E56">
              <w:rPr>
                <w:noProof/>
                <w:webHidden/>
              </w:rPr>
              <w:fldChar w:fldCharType="separate"/>
            </w:r>
            <w:r w:rsidR="00AD2DD3">
              <w:rPr>
                <w:noProof/>
                <w:webHidden/>
              </w:rPr>
              <w:t>147</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43" w:history="1">
            <w:r w:rsidR="00852E56" w:rsidRPr="001C76C8">
              <w:rPr>
                <w:rStyle w:val="Hyperlink"/>
                <w:noProof/>
                <w:lang w:eastAsia="en-GB"/>
              </w:rPr>
              <w:t>Appendix N:  SOP for Management of Patients in ED</w:t>
            </w:r>
            <w:r w:rsidR="00852E56">
              <w:rPr>
                <w:noProof/>
                <w:webHidden/>
              </w:rPr>
              <w:tab/>
            </w:r>
            <w:r w:rsidR="00852E56">
              <w:rPr>
                <w:noProof/>
                <w:webHidden/>
              </w:rPr>
              <w:fldChar w:fldCharType="begin"/>
            </w:r>
            <w:r w:rsidR="00852E56">
              <w:rPr>
                <w:noProof/>
                <w:webHidden/>
              </w:rPr>
              <w:instrText xml:space="preserve"> PAGEREF _Toc105665243 \h </w:instrText>
            </w:r>
            <w:r w:rsidR="00852E56">
              <w:rPr>
                <w:noProof/>
                <w:webHidden/>
              </w:rPr>
            </w:r>
            <w:r w:rsidR="00852E56">
              <w:rPr>
                <w:noProof/>
                <w:webHidden/>
              </w:rPr>
              <w:fldChar w:fldCharType="separate"/>
            </w:r>
            <w:r w:rsidR="00AD2DD3">
              <w:rPr>
                <w:noProof/>
                <w:webHidden/>
              </w:rPr>
              <w:t>153</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44" w:history="1">
            <w:r w:rsidR="00852E56" w:rsidRPr="001C76C8">
              <w:rPr>
                <w:rStyle w:val="Hyperlink"/>
                <w:noProof/>
                <w:lang w:eastAsia="en-GB"/>
              </w:rPr>
              <w:t>Appendix O:  Benefits Plan and Register</w:t>
            </w:r>
            <w:r w:rsidR="00852E56">
              <w:rPr>
                <w:noProof/>
                <w:webHidden/>
              </w:rPr>
              <w:tab/>
            </w:r>
            <w:r w:rsidR="00852E56">
              <w:rPr>
                <w:noProof/>
                <w:webHidden/>
              </w:rPr>
              <w:fldChar w:fldCharType="begin"/>
            </w:r>
            <w:r w:rsidR="00852E56">
              <w:rPr>
                <w:noProof/>
                <w:webHidden/>
              </w:rPr>
              <w:instrText xml:space="preserve"> PAGEREF _Toc105665244 \h </w:instrText>
            </w:r>
            <w:r w:rsidR="00852E56">
              <w:rPr>
                <w:noProof/>
                <w:webHidden/>
              </w:rPr>
            </w:r>
            <w:r w:rsidR="00852E56">
              <w:rPr>
                <w:noProof/>
                <w:webHidden/>
              </w:rPr>
              <w:fldChar w:fldCharType="separate"/>
            </w:r>
            <w:r w:rsidR="00AD2DD3">
              <w:rPr>
                <w:noProof/>
                <w:webHidden/>
              </w:rPr>
              <w:t>166</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45" w:history="1">
            <w:r w:rsidR="00852E56" w:rsidRPr="001C76C8">
              <w:rPr>
                <w:rStyle w:val="Hyperlink"/>
                <w:noProof/>
                <w:lang w:eastAsia="en-GB"/>
              </w:rPr>
              <w:t>Appendix P: Risk Register</w:t>
            </w:r>
            <w:r w:rsidR="00852E56">
              <w:rPr>
                <w:noProof/>
                <w:webHidden/>
              </w:rPr>
              <w:tab/>
            </w:r>
            <w:r w:rsidR="00852E56">
              <w:rPr>
                <w:noProof/>
                <w:webHidden/>
              </w:rPr>
              <w:fldChar w:fldCharType="begin"/>
            </w:r>
            <w:r w:rsidR="00852E56">
              <w:rPr>
                <w:noProof/>
                <w:webHidden/>
              </w:rPr>
              <w:instrText xml:space="preserve"> PAGEREF _Toc105665245 \h </w:instrText>
            </w:r>
            <w:r w:rsidR="00852E56">
              <w:rPr>
                <w:noProof/>
                <w:webHidden/>
              </w:rPr>
            </w:r>
            <w:r w:rsidR="00852E56">
              <w:rPr>
                <w:noProof/>
                <w:webHidden/>
              </w:rPr>
              <w:fldChar w:fldCharType="separate"/>
            </w:r>
            <w:r w:rsidR="00AD2DD3">
              <w:rPr>
                <w:noProof/>
                <w:webHidden/>
              </w:rPr>
              <w:t>166</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46" w:history="1">
            <w:r w:rsidR="00852E56" w:rsidRPr="001C76C8">
              <w:rPr>
                <w:rStyle w:val="Hyperlink"/>
                <w:noProof/>
                <w:lang w:eastAsia="en-GB"/>
              </w:rPr>
              <w:t>Appendix Q:  Project Execution Plan</w:t>
            </w:r>
            <w:r w:rsidR="00852E56">
              <w:rPr>
                <w:noProof/>
                <w:webHidden/>
              </w:rPr>
              <w:tab/>
            </w:r>
            <w:r w:rsidR="00852E56">
              <w:rPr>
                <w:noProof/>
                <w:webHidden/>
              </w:rPr>
              <w:fldChar w:fldCharType="begin"/>
            </w:r>
            <w:r w:rsidR="00852E56">
              <w:rPr>
                <w:noProof/>
                <w:webHidden/>
              </w:rPr>
              <w:instrText xml:space="preserve"> PAGEREF _Toc105665246 \h </w:instrText>
            </w:r>
            <w:r w:rsidR="00852E56">
              <w:rPr>
                <w:noProof/>
                <w:webHidden/>
              </w:rPr>
            </w:r>
            <w:r w:rsidR="00852E56">
              <w:rPr>
                <w:noProof/>
                <w:webHidden/>
              </w:rPr>
              <w:fldChar w:fldCharType="separate"/>
            </w:r>
            <w:r w:rsidR="00AD2DD3">
              <w:rPr>
                <w:noProof/>
                <w:webHidden/>
              </w:rPr>
              <w:t>174</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47" w:history="1">
            <w:r w:rsidR="00852E56" w:rsidRPr="001C76C8">
              <w:rPr>
                <w:rStyle w:val="Hyperlink"/>
                <w:noProof/>
                <w:lang w:eastAsia="en-GB"/>
              </w:rPr>
              <w:t>Appendix R:  Projects Leads CV’s</w:t>
            </w:r>
            <w:r w:rsidR="00852E56">
              <w:rPr>
                <w:noProof/>
                <w:webHidden/>
              </w:rPr>
              <w:tab/>
            </w:r>
            <w:r w:rsidR="00852E56">
              <w:rPr>
                <w:noProof/>
                <w:webHidden/>
              </w:rPr>
              <w:fldChar w:fldCharType="begin"/>
            </w:r>
            <w:r w:rsidR="00852E56">
              <w:rPr>
                <w:noProof/>
                <w:webHidden/>
              </w:rPr>
              <w:instrText xml:space="preserve"> PAGEREF _Toc105665247 \h </w:instrText>
            </w:r>
            <w:r w:rsidR="00852E56">
              <w:rPr>
                <w:noProof/>
                <w:webHidden/>
              </w:rPr>
            </w:r>
            <w:r w:rsidR="00852E56">
              <w:rPr>
                <w:noProof/>
                <w:webHidden/>
              </w:rPr>
              <w:fldChar w:fldCharType="separate"/>
            </w:r>
            <w:r w:rsidR="00AD2DD3">
              <w:rPr>
                <w:noProof/>
                <w:webHidden/>
              </w:rPr>
              <w:t>175</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49" w:history="1">
            <w:r w:rsidR="00852E56" w:rsidRPr="001C76C8">
              <w:rPr>
                <w:rStyle w:val="Hyperlink"/>
                <w:noProof/>
                <w:lang w:eastAsia="en-GB"/>
              </w:rPr>
              <w:t>Appendix S:  Communications Plan</w:t>
            </w:r>
            <w:r w:rsidR="00852E56">
              <w:rPr>
                <w:noProof/>
                <w:webHidden/>
              </w:rPr>
              <w:tab/>
            </w:r>
            <w:r w:rsidR="00852E56">
              <w:rPr>
                <w:noProof/>
                <w:webHidden/>
              </w:rPr>
              <w:fldChar w:fldCharType="begin"/>
            </w:r>
            <w:r w:rsidR="00852E56">
              <w:rPr>
                <w:noProof/>
                <w:webHidden/>
              </w:rPr>
              <w:instrText xml:space="preserve"> PAGEREF _Toc105665249 \h </w:instrText>
            </w:r>
            <w:r w:rsidR="00852E56">
              <w:rPr>
                <w:noProof/>
                <w:webHidden/>
              </w:rPr>
            </w:r>
            <w:r w:rsidR="00852E56">
              <w:rPr>
                <w:noProof/>
                <w:webHidden/>
              </w:rPr>
              <w:fldChar w:fldCharType="separate"/>
            </w:r>
            <w:r w:rsidR="00AD2DD3">
              <w:rPr>
                <w:noProof/>
                <w:webHidden/>
              </w:rPr>
              <w:t>183</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50" w:history="1">
            <w:r w:rsidR="00852E56" w:rsidRPr="001C76C8">
              <w:rPr>
                <w:rStyle w:val="Hyperlink"/>
                <w:rFonts w:eastAsia="Times New Roman"/>
                <w:noProof/>
                <w:lang w:eastAsia="en-GB"/>
              </w:rPr>
              <w:t>Appendix T:  Sustainable Development Management Plan (SDMP)</w:t>
            </w:r>
            <w:r w:rsidR="00852E56">
              <w:rPr>
                <w:noProof/>
                <w:webHidden/>
              </w:rPr>
              <w:tab/>
            </w:r>
            <w:r w:rsidR="00852E56">
              <w:rPr>
                <w:noProof/>
                <w:webHidden/>
              </w:rPr>
              <w:fldChar w:fldCharType="begin"/>
            </w:r>
            <w:r w:rsidR="00852E56">
              <w:rPr>
                <w:noProof/>
                <w:webHidden/>
              </w:rPr>
              <w:instrText xml:space="preserve"> PAGEREF _Toc105665250 \h </w:instrText>
            </w:r>
            <w:r w:rsidR="00852E56">
              <w:rPr>
                <w:noProof/>
                <w:webHidden/>
              </w:rPr>
            </w:r>
            <w:r w:rsidR="00852E56">
              <w:rPr>
                <w:noProof/>
                <w:webHidden/>
              </w:rPr>
              <w:fldChar w:fldCharType="separate"/>
            </w:r>
            <w:r w:rsidR="00AD2DD3">
              <w:rPr>
                <w:noProof/>
                <w:webHidden/>
              </w:rPr>
              <w:t>189</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51" w:history="1">
            <w:r w:rsidR="00852E56" w:rsidRPr="001C76C8">
              <w:rPr>
                <w:rStyle w:val="Hyperlink"/>
                <w:noProof/>
                <w:lang w:eastAsia="en-GB"/>
              </w:rPr>
              <w:t>Appendix U:  Project Team Meetings Terms of Reference</w:t>
            </w:r>
            <w:r w:rsidR="00852E56">
              <w:rPr>
                <w:noProof/>
                <w:webHidden/>
              </w:rPr>
              <w:tab/>
            </w:r>
            <w:r w:rsidR="00852E56">
              <w:rPr>
                <w:noProof/>
                <w:webHidden/>
              </w:rPr>
              <w:fldChar w:fldCharType="begin"/>
            </w:r>
            <w:r w:rsidR="00852E56">
              <w:rPr>
                <w:noProof/>
                <w:webHidden/>
              </w:rPr>
              <w:instrText xml:space="preserve"> PAGEREF _Toc105665251 \h </w:instrText>
            </w:r>
            <w:r w:rsidR="00852E56">
              <w:rPr>
                <w:noProof/>
                <w:webHidden/>
              </w:rPr>
            </w:r>
            <w:r w:rsidR="00852E56">
              <w:rPr>
                <w:noProof/>
                <w:webHidden/>
              </w:rPr>
              <w:fldChar w:fldCharType="separate"/>
            </w:r>
            <w:r w:rsidR="00AD2DD3">
              <w:rPr>
                <w:noProof/>
                <w:webHidden/>
              </w:rPr>
              <w:t>204</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75" w:history="1">
            <w:r w:rsidR="00852E56" w:rsidRPr="001C76C8">
              <w:rPr>
                <w:rStyle w:val="Hyperlink"/>
                <w:noProof/>
                <w:lang w:eastAsia="en-GB"/>
              </w:rPr>
              <w:t>Appendix V:  Premises Assurance Model</w:t>
            </w:r>
            <w:r w:rsidR="00852E56">
              <w:rPr>
                <w:noProof/>
                <w:webHidden/>
              </w:rPr>
              <w:tab/>
            </w:r>
            <w:r w:rsidR="00852E56">
              <w:rPr>
                <w:noProof/>
                <w:webHidden/>
              </w:rPr>
              <w:fldChar w:fldCharType="begin"/>
            </w:r>
            <w:r w:rsidR="00852E56">
              <w:rPr>
                <w:noProof/>
                <w:webHidden/>
              </w:rPr>
              <w:instrText xml:space="preserve"> PAGEREF _Toc105665275 \h </w:instrText>
            </w:r>
            <w:r w:rsidR="00852E56">
              <w:rPr>
                <w:noProof/>
                <w:webHidden/>
              </w:rPr>
            </w:r>
            <w:r w:rsidR="00852E56">
              <w:rPr>
                <w:noProof/>
                <w:webHidden/>
              </w:rPr>
              <w:fldChar w:fldCharType="separate"/>
            </w:r>
            <w:r w:rsidR="00AD2DD3">
              <w:rPr>
                <w:noProof/>
                <w:webHidden/>
              </w:rPr>
              <w:t>222</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76" w:history="1">
            <w:r w:rsidR="00852E56" w:rsidRPr="001C76C8">
              <w:rPr>
                <w:rStyle w:val="Hyperlink"/>
                <w:noProof/>
                <w:lang w:eastAsia="en-GB"/>
              </w:rPr>
              <w:t>Appendix W – ULHT Draft Green Plan</w:t>
            </w:r>
            <w:r w:rsidR="00852E56">
              <w:rPr>
                <w:noProof/>
                <w:webHidden/>
              </w:rPr>
              <w:tab/>
            </w:r>
            <w:r w:rsidR="00852E56">
              <w:rPr>
                <w:noProof/>
                <w:webHidden/>
              </w:rPr>
              <w:fldChar w:fldCharType="begin"/>
            </w:r>
            <w:r w:rsidR="00852E56">
              <w:rPr>
                <w:noProof/>
                <w:webHidden/>
              </w:rPr>
              <w:instrText xml:space="preserve"> PAGEREF _Toc105665276 \h </w:instrText>
            </w:r>
            <w:r w:rsidR="00852E56">
              <w:rPr>
                <w:noProof/>
                <w:webHidden/>
              </w:rPr>
            </w:r>
            <w:r w:rsidR="00852E56">
              <w:rPr>
                <w:noProof/>
                <w:webHidden/>
              </w:rPr>
              <w:fldChar w:fldCharType="separate"/>
            </w:r>
            <w:r w:rsidR="00AD2DD3">
              <w:rPr>
                <w:noProof/>
                <w:webHidden/>
              </w:rPr>
              <w:t>223</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77" w:history="1">
            <w:r w:rsidR="00852E56" w:rsidRPr="001C76C8">
              <w:rPr>
                <w:rStyle w:val="Hyperlink"/>
                <w:noProof/>
                <w:lang w:eastAsia="en-GB"/>
              </w:rPr>
              <w:t>Appendix X – Schedule of Accommodation and Derogations</w:t>
            </w:r>
            <w:r w:rsidR="00852E56">
              <w:rPr>
                <w:noProof/>
                <w:webHidden/>
              </w:rPr>
              <w:tab/>
            </w:r>
            <w:r w:rsidR="00852E56">
              <w:rPr>
                <w:noProof/>
                <w:webHidden/>
              </w:rPr>
              <w:fldChar w:fldCharType="begin"/>
            </w:r>
            <w:r w:rsidR="00852E56">
              <w:rPr>
                <w:noProof/>
                <w:webHidden/>
              </w:rPr>
              <w:instrText xml:space="preserve"> PAGEREF _Toc105665277 \h </w:instrText>
            </w:r>
            <w:r w:rsidR="00852E56">
              <w:rPr>
                <w:noProof/>
                <w:webHidden/>
              </w:rPr>
            </w:r>
            <w:r w:rsidR="00852E56">
              <w:rPr>
                <w:noProof/>
                <w:webHidden/>
              </w:rPr>
              <w:fldChar w:fldCharType="separate"/>
            </w:r>
            <w:r w:rsidR="00AD2DD3">
              <w:rPr>
                <w:noProof/>
                <w:webHidden/>
              </w:rPr>
              <w:t>224</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78" w:history="1">
            <w:r w:rsidR="00852E56" w:rsidRPr="001C76C8">
              <w:rPr>
                <w:rStyle w:val="Hyperlink"/>
                <w:noProof/>
                <w:lang w:eastAsia="en-GB"/>
              </w:rPr>
              <w:t>Appendix Y – ITT &amp; Contracts</w:t>
            </w:r>
            <w:r w:rsidR="00852E56">
              <w:rPr>
                <w:noProof/>
                <w:webHidden/>
              </w:rPr>
              <w:tab/>
            </w:r>
            <w:r w:rsidR="00852E56">
              <w:rPr>
                <w:noProof/>
                <w:webHidden/>
              </w:rPr>
              <w:fldChar w:fldCharType="begin"/>
            </w:r>
            <w:r w:rsidR="00852E56">
              <w:rPr>
                <w:noProof/>
                <w:webHidden/>
              </w:rPr>
              <w:instrText xml:space="preserve"> PAGEREF _Toc105665278 \h </w:instrText>
            </w:r>
            <w:r w:rsidR="00852E56">
              <w:rPr>
                <w:noProof/>
                <w:webHidden/>
              </w:rPr>
            </w:r>
            <w:r w:rsidR="00852E56">
              <w:rPr>
                <w:noProof/>
                <w:webHidden/>
              </w:rPr>
              <w:fldChar w:fldCharType="separate"/>
            </w:r>
            <w:r w:rsidR="00AD2DD3">
              <w:rPr>
                <w:noProof/>
                <w:webHidden/>
              </w:rPr>
              <w:t>226</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80" w:history="1">
            <w:r w:rsidR="00852E56" w:rsidRPr="001C76C8">
              <w:rPr>
                <w:rStyle w:val="Hyperlink"/>
                <w:noProof/>
                <w:lang w:eastAsia="en-GB"/>
              </w:rPr>
              <w:t>Appendix Z – Equipment List</w:t>
            </w:r>
            <w:r w:rsidR="00852E56">
              <w:rPr>
                <w:noProof/>
                <w:webHidden/>
              </w:rPr>
              <w:tab/>
            </w:r>
            <w:r w:rsidR="00852E56">
              <w:rPr>
                <w:noProof/>
                <w:webHidden/>
              </w:rPr>
              <w:fldChar w:fldCharType="begin"/>
            </w:r>
            <w:r w:rsidR="00852E56">
              <w:rPr>
                <w:noProof/>
                <w:webHidden/>
              </w:rPr>
              <w:instrText xml:space="preserve"> PAGEREF _Toc105665280 \h </w:instrText>
            </w:r>
            <w:r w:rsidR="00852E56">
              <w:rPr>
                <w:noProof/>
                <w:webHidden/>
              </w:rPr>
            </w:r>
            <w:r w:rsidR="00852E56">
              <w:rPr>
                <w:noProof/>
                <w:webHidden/>
              </w:rPr>
              <w:fldChar w:fldCharType="separate"/>
            </w:r>
            <w:r w:rsidR="00AD2DD3">
              <w:rPr>
                <w:noProof/>
                <w:webHidden/>
              </w:rPr>
              <w:t>227</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82" w:history="1">
            <w:r w:rsidR="00852E56" w:rsidRPr="001C76C8">
              <w:rPr>
                <w:rStyle w:val="Hyperlink"/>
                <w:noProof/>
                <w:lang w:eastAsia="en-GB"/>
              </w:rPr>
              <w:t>Appendix AA – CIA Model</w:t>
            </w:r>
            <w:r w:rsidR="00852E56">
              <w:rPr>
                <w:noProof/>
                <w:webHidden/>
              </w:rPr>
              <w:tab/>
            </w:r>
            <w:r w:rsidR="00852E56">
              <w:rPr>
                <w:noProof/>
                <w:webHidden/>
              </w:rPr>
              <w:fldChar w:fldCharType="begin"/>
            </w:r>
            <w:r w:rsidR="00852E56">
              <w:rPr>
                <w:noProof/>
                <w:webHidden/>
              </w:rPr>
              <w:instrText xml:space="preserve"> PAGEREF _Toc105665282 \h </w:instrText>
            </w:r>
            <w:r w:rsidR="00852E56">
              <w:rPr>
                <w:noProof/>
                <w:webHidden/>
              </w:rPr>
            </w:r>
            <w:r w:rsidR="00852E56">
              <w:rPr>
                <w:noProof/>
                <w:webHidden/>
              </w:rPr>
              <w:fldChar w:fldCharType="separate"/>
            </w:r>
            <w:r w:rsidR="00AD2DD3">
              <w:rPr>
                <w:noProof/>
                <w:webHidden/>
              </w:rPr>
              <w:t>250</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83" w:history="1">
            <w:r w:rsidR="00852E56" w:rsidRPr="001C76C8">
              <w:rPr>
                <w:rStyle w:val="Hyperlink"/>
                <w:noProof/>
                <w:lang w:eastAsia="en-GB"/>
              </w:rPr>
              <w:t>Appendix AB – Schedule of Accommodation &amp; Derogations</w:t>
            </w:r>
            <w:r w:rsidR="00852E56">
              <w:rPr>
                <w:noProof/>
                <w:webHidden/>
              </w:rPr>
              <w:tab/>
            </w:r>
            <w:r w:rsidR="00852E56">
              <w:rPr>
                <w:noProof/>
                <w:webHidden/>
              </w:rPr>
              <w:fldChar w:fldCharType="begin"/>
            </w:r>
            <w:r w:rsidR="00852E56">
              <w:rPr>
                <w:noProof/>
                <w:webHidden/>
              </w:rPr>
              <w:instrText xml:space="preserve"> PAGEREF _Toc105665283 \h </w:instrText>
            </w:r>
            <w:r w:rsidR="00852E56">
              <w:rPr>
                <w:noProof/>
                <w:webHidden/>
              </w:rPr>
            </w:r>
            <w:r w:rsidR="00852E56">
              <w:rPr>
                <w:noProof/>
                <w:webHidden/>
              </w:rPr>
              <w:fldChar w:fldCharType="separate"/>
            </w:r>
            <w:r w:rsidR="00AD2DD3">
              <w:rPr>
                <w:noProof/>
                <w:webHidden/>
              </w:rPr>
              <w:t>251</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84" w:history="1">
            <w:r w:rsidR="00852E56" w:rsidRPr="001C76C8">
              <w:rPr>
                <w:rStyle w:val="Hyperlink"/>
                <w:noProof/>
                <w:lang w:eastAsia="en-GB"/>
              </w:rPr>
              <w:t>Appendix AC – FB Forms</w:t>
            </w:r>
            <w:r w:rsidR="00852E56">
              <w:rPr>
                <w:noProof/>
                <w:webHidden/>
              </w:rPr>
              <w:tab/>
            </w:r>
            <w:r w:rsidR="00852E56">
              <w:rPr>
                <w:noProof/>
                <w:webHidden/>
              </w:rPr>
              <w:fldChar w:fldCharType="begin"/>
            </w:r>
            <w:r w:rsidR="00852E56">
              <w:rPr>
                <w:noProof/>
                <w:webHidden/>
              </w:rPr>
              <w:instrText xml:space="preserve"> PAGEREF _Toc105665284 \h </w:instrText>
            </w:r>
            <w:r w:rsidR="00852E56">
              <w:rPr>
                <w:noProof/>
                <w:webHidden/>
              </w:rPr>
            </w:r>
            <w:r w:rsidR="00852E56">
              <w:rPr>
                <w:noProof/>
                <w:webHidden/>
              </w:rPr>
              <w:fldChar w:fldCharType="separate"/>
            </w:r>
            <w:r w:rsidR="00AD2DD3">
              <w:rPr>
                <w:noProof/>
                <w:webHidden/>
              </w:rPr>
              <w:t>252</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85" w:history="1">
            <w:r w:rsidR="00852E56" w:rsidRPr="001C76C8">
              <w:rPr>
                <w:rStyle w:val="Hyperlink"/>
                <w:noProof/>
                <w:lang w:eastAsia="en-GB"/>
              </w:rPr>
              <w:t>Appendix AD – BREEAM Assessment Report</w:t>
            </w:r>
            <w:r w:rsidR="00852E56">
              <w:rPr>
                <w:noProof/>
                <w:webHidden/>
              </w:rPr>
              <w:tab/>
            </w:r>
            <w:r w:rsidR="00852E56">
              <w:rPr>
                <w:noProof/>
                <w:webHidden/>
              </w:rPr>
              <w:fldChar w:fldCharType="begin"/>
            </w:r>
            <w:r w:rsidR="00852E56">
              <w:rPr>
                <w:noProof/>
                <w:webHidden/>
              </w:rPr>
              <w:instrText xml:space="preserve"> PAGEREF _Toc105665285 \h </w:instrText>
            </w:r>
            <w:r w:rsidR="00852E56">
              <w:rPr>
                <w:noProof/>
                <w:webHidden/>
              </w:rPr>
            </w:r>
            <w:r w:rsidR="00852E56">
              <w:rPr>
                <w:noProof/>
                <w:webHidden/>
              </w:rPr>
              <w:fldChar w:fldCharType="separate"/>
            </w:r>
            <w:r w:rsidR="00AD2DD3">
              <w:rPr>
                <w:noProof/>
                <w:webHidden/>
              </w:rPr>
              <w:t>253</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86" w:history="1">
            <w:r w:rsidR="00852E56" w:rsidRPr="001C76C8">
              <w:rPr>
                <w:rStyle w:val="Hyperlink"/>
                <w:noProof/>
                <w:lang w:eastAsia="en-GB"/>
              </w:rPr>
              <w:t>Appendix AE – MMC Utilisation Assessment Tool</w:t>
            </w:r>
            <w:r w:rsidR="00852E56">
              <w:rPr>
                <w:noProof/>
                <w:webHidden/>
              </w:rPr>
              <w:tab/>
            </w:r>
            <w:r w:rsidR="00852E56">
              <w:rPr>
                <w:noProof/>
                <w:webHidden/>
              </w:rPr>
              <w:fldChar w:fldCharType="begin"/>
            </w:r>
            <w:r w:rsidR="00852E56">
              <w:rPr>
                <w:noProof/>
                <w:webHidden/>
              </w:rPr>
              <w:instrText xml:space="preserve"> PAGEREF _Toc105665286 \h </w:instrText>
            </w:r>
            <w:r w:rsidR="00852E56">
              <w:rPr>
                <w:noProof/>
                <w:webHidden/>
              </w:rPr>
            </w:r>
            <w:r w:rsidR="00852E56">
              <w:rPr>
                <w:noProof/>
                <w:webHidden/>
              </w:rPr>
              <w:fldChar w:fldCharType="separate"/>
            </w:r>
            <w:r w:rsidR="00AD2DD3">
              <w:rPr>
                <w:noProof/>
                <w:webHidden/>
              </w:rPr>
              <w:t>254</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88" w:history="1">
            <w:r w:rsidR="00852E56" w:rsidRPr="001C76C8">
              <w:rPr>
                <w:rStyle w:val="Hyperlink"/>
                <w:noProof/>
                <w:lang w:eastAsia="en-GB"/>
              </w:rPr>
              <w:t>Appendix AF – Post Project Evaluation Plan</w:t>
            </w:r>
            <w:r w:rsidR="00852E56">
              <w:rPr>
                <w:noProof/>
                <w:webHidden/>
              </w:rPr>
              <w:tab/>
            </w:r>
            <w:r w:rsidR="00852E56">
              <w:rPr>
                <w:noProof/>
                <w:webHidden/>
              </w:rPr>
              <w:fldChar w:fldCharType="begin"/>
            </w:r>
            <w:r w:rsidR="00852E56">
              <w:rPr>
                <w:noProof/>
                <w:webHidden/>
              </w:rPr>
              <w:instrText xml:space="preserve"> PAGEREF _Toc105665288 \h </w:instrText>
            </w:r>
            <w:r w:rsidR="00852E56">
              <w:rPr>
                <w:noProof/>
                <w:webHidden/>
              </w:rPr>
            </w:r>
            <w:r w:rsidR="00852E56">
              <w:rPr>
                <w:noProof/>
                <w:webHidden/>
              </w:rPr>
              <w:fldChar w:fldCharType="separate"/>
            </w:r>
            <w:r w:rsidR="00AD2DD3">
              <w:rPr>
                <w:noProof/>
                <w:webHidden/>
              </w:rPr>
              <w:t>255</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89" w:history="1">
            <w:r w:rsidR="00852E56" w:rsidRPr="001C76C8">
              <w:rPr>
                <w:rStyle w:val="Hyperlink"/>
                <w:noProof/>
                <w:lang w:eastAsia="en-GB"/>
              </w:rPr>
              <w:t>Appendix AG – Social Value Plan</w:t>
            </w:r>
            <w:r w:rsidR="00852E56">
              <w:rPr>
                <w:noProof/>
                <w:webHidden/>
              </w:rPr>
              <w:tab/>
            </w:r>
            <w:r w:rsidR="00852E56">
              <w:rPr>
                <w:noProof/>
                <w:webHidden/>
              </w:rPr>
              <w:fldChar w:fldCharType="begin"/>
            </w:r>
            <w:r w:rsidR="00852E56">
              <w:rPr>
                <w:noProof/>
                <w:webHidden/>
              </w:rPr>
              <w:instrText xml:space="preserve"> PAGEREF _Toc105665289 \h </w:instrText>
            </w:r>
            <w:r w:rsidR="00852E56">
              <w:rPr>
                <w:noProof/>
                <w:webHidden/>
              </w:rPr>
            </w:r>
            <w:r w:rsidR="00852E56">
              <w:rPr>
                <w:noProof/>
                <w:webHidden/>
              </w:rPr>
              <w:fldChar w:fldCharType="separate"/>
            </w:r>
            <w:r w:rsidR="00AD2DD3">
              <w:rPr>
                <w:noProof/>
                <w:webHidden/>
              </w:rPr>
              <w:t>256</w:t>
            </w:r>
            <w:r w:rsidR="00852E56">
              <w:rPr>
                <w:noProof/>
                <w:webHidden/>
              </w:rPr>
              <w:fldChar w:fldCharType="end"/>
            </w:r>
          </w:hyperlink>
        </w:p>
        <w:p w:rsidR="00852E56" w:rsidRDefault="004E77B4">
          <w:pPr>
            <w:pStyle w:val="TOC1"/>
            <w:tabs>
              <w:tab w:val="right" w:leader="dot" w:pos="9016"/>
            </w:tabs>
            <w:rPr>
              <w:rFonts w:asciiTheme="minorHAnsi" w:eastAsiaTheme="minorEastAsia" w:hAnsiTheme="minorHAnsi"/>
              <w:noProof/>
              <w:sz w:val="22"/>
              <w:lang w:eastAsia="en-GB"/>
            </w:rPr>
          </w:pPr>
          <w:hyperlink w:anchor="_Toc105665291" w:history="1">
            <w:r w:rsidR="00852E56" w:rsidRPr="001C76C8">
              <w:rPr>
                <w:rStyle w:val="Hyperlink"/>
                <w:rFonts w:eastAsia="Times New Roman"/>
                <w:noProof/>
                <w:lang w:eastAsia="en-GB"/>
              </w:rPr>
              <w:t>Glossary</w:t>
            </w:r>
            <w:r w:rsidR="00852E56">
              <w:rPr>
                <w:noProof/>
                <w:webHidden/>
              </w:rPr>
              <w:tab/>
            </w:r>
            <w:r w:rsidR="00852E56">
              <w:rPr>
                <w:noProof/>
                <w:webHidden/>
              </w:rPr>
              <w:fldChar w:fldCharType="begin"/>
            </w:r>
            <w:r w:rsidR="00852E56">
              <w:rPr>
                <w:noProof/>
                <w:webHidden/>
              </w:rPr>
              <w:instrText xml:space="preserve"> PAGEREF _Toc105665291 \h </w:instrText>
            </w:r>
            <w:r w:rsidR="00852E56">
              <w:rPr>
                <w:noProof/>
                <w:webHidden/>
              </w:rPr>
            </w:r>
            <w:r w:rsidR="00852E56">
              <w:rPr>
                <w:noProof/>
                <w:webHidden/>
              </w:rPr>
              <w:fldChar w:fldCharType="separate"/>
            </w:r>
            <w:r w:rsidR="00AD2DD3">
              <w:rPr>
                <w:noProof/>
                <w:webHidden/>
              </w:rPr>
              <w:t>257</w:t>
            </w:r>
            <w:r w:rsidR="00852E56">
              <w:rPr>
                <w:noProof/>
                <w:webHidden/>
              </w:rPr>
              <w:fldChar w:fldCharType="end"/>
            </w:r>
          </w:hyperlink>
        </w:p>
        <w:p w:rsidR="0004147B" w:rsidRDefault="0004147B">
          <w:r>
            <w:rPr>
              <w:b/>
              <w:bCs/>
              <w:noProof/>
            </w:rPr>
            <w:fldChar w:fldCharType="end"/>
          </w:r>
        </w:p>
      </w:sdtContent>
    </w:sdt>
    <w:p w:rsidR="0004147B" w:rsidRDefault="0004147B" w:rsidP="0004147B"/>
    <w:p w:rsidR="0004147B" w:rsidRDefault="0004147B" w:rsidP="0004147B"/>
    <w:p w:rsidR="0004147B" w:rsidRDefault="0004147B">
      <w:pPr>
        <w:spacing w:after="200" w:line="276" w:lineRule="auto"/>
      </w:pPr>
      <w:r>
        <w:br w:type="page"/>
      </w:r>
    </w:p>
    <w:p w:rsidR="0004147B" w:rsidRDefault="0004147B" w:rsidP="0004147B">
      <w:pPr>
        <w:pStyle w:val="Heading1"/>
        <w:rPr>
          <w:noProof/>
          <w:lang w:eastAsia="en-GB"/>
        </w:rPr>
      </w:pPr>
      <w:bookmarkStart w:id="8" w:name="_Toc105665198"/>
      <w:r>
        <w:lastRenderedPageBreak/>
        <w:t xml:space="preserve">Appendix A:  JISC </w:t>
      </w:r>
      <w:r w:rsidR="00F179BD">
        <w:t xml:space="preserve">OBC </w:t>
      </w:r>
      <w:r>
        <w:t>Approval</w:t>
      </w:r>
      <w:bookmarkEnd w:id="8"/>
    </w:p>
    <w:p w:rsidR="0004147B" w:rsidRDefault="0004147B" w:rsidP="0004147B">
      <w:pPr>
        <w:rPr>
          <w:lang w:eastAsia="en-GB"/>
        </w:rPr>
      </w:pPr>
    </w:p>
    <w:p w:rsidR="0004147B" w:rsidRDefault="0004147B">
      <w:pPr>
        <w:spacing w:after="200" w:line="276" w:lineRule="auto"/>
        <w:rPr>
          <w:lang w:eastAsia="en-GB"/>
        </w:rPr>
      </w:pPr>
      <w:r>
        <w:rPr>
          <w:lang w:eastAsia="en-GB"/>
        </w:rPr>
        <w:br w:type="page"/>
      </w:r>
    </w:p>
    <w:p w:rsidR="005D0443" w:rsidRDefault="0004147B" w:rsidP="0004147B">
      <w:pPr>
        <w:rPr>
          <w:lang w:eastAsia="en-GB"/>
        </w:rPr>
      </w:pPr>
      <w:r>
        <w:rPr>
          <w:noProof/>
          <w:lang w:eastAsia="en-GB"/>
        </w:rPr>
        <w:lastRenderedPageBreak/>
        <w:drawing>
          <wp:inline distT="0" distB="0" distL="0" distR="0" wp14:anchorId="082644A6">
            <wp:extent cx="6125210" cy="8688070"/>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5210" cy="8688070"/>
                    </a:xfrm>
                    <a:prstGeom prst="rect">
                      <a:avLst/>
                    </a:prstGeom>
                    <a:noFill/>
                  </pic:spPr>
                </pic:pic>
              </a:graphicData>
            </a:graphic>
          </wp:inline>
        </w:drawing>
      </w:r>
      <w:r>
        <w:rPr>
          <w:noProof/>
          <w:lang w:eastAsia="en-GB"/>
        </w:rPr>
        <w:lastRenderedPageBreak/>
        <w:drawing>
          <wp:inline distT="0" distB="0" distL="0" distR="0" wp14:anchorId="03B1C781">
            <wp:extent cx="6134735" cy="86118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34735" cy="8611870"/>
                    </a:xfrm>
                    <a:prstGeom prst="rect">
                      <a:avLst/>
                    </a:prstGeom>
                    <a:noFill/>
                  </pic:spPr>
                </pic:pic>
              </a:graphicData>
            </a:graphic>
          </wp:inline>
        </w:drawing>
      </w:r>
      <w:r>
        <w:rPr>
          <w:noProof/>
          <w:lang w:eastAsia="en-GB"/>
        </w:rPr>
        <w:lastRenderedPageBreak/>
        <w:drawing>
          <wp:inline distT="0" distB="0" distL="0" distR="0" wp14:anchorId="0BA6A6A3">
            <wp:extent cx="6115685" cy="85166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5685" cy="8516620"/>
                    </a:xfrm>
                    <a:prstGeom prst="rect">
                      <a:avLst/>
                    </a:prstGeom>
                    <a:noFill/>
                  </pic:spPr>
                </pic:pic>
              </a:graphicData>
            </a:graphic>
          </wp:inline>
        </w:drawing>
      </w:r>
      <w:r w:rsidR="005D0443">
        <w:rPr>
          <w:noProof/>
          <w:lang w:eastAsia="en-GB"/>
        </w:rPr>
        <w:lastRenderedPageBreak/>
        <w:drawing>
          <wp:inline distT="0" distB="0" distL="0" distR="0" wp14:anchorId="5E3402D6">
            <wp:extent cx="6125210" cy="8421370"/>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5210" cy="8421370"/>
                    </a:xfrm>
                    <a:prstGeom prst="rect">
                      <a:avLst/>
                    </a:prstGeom>
                    <a:noFill/>
                  </pic:spPr>
                </pic:pic>
              </a:graphicData>
            </a:graphic>
          </wp:inline>
        </w:drawing>
      </w:r>
      <w:r w:rsidR="005D0443">
        <w:rPr>
          <w:noProof/>
          <w:lang w:eastAsia="en-GB"/>
        </w:rPr>
        <w:lastRenderedPageBreak/>
        <w:drawing>
          <wp:inline distT="0" distB="0" distL="0" distR="0" wp14:anchorId="49F210AD">
            <wp:extent cx="6096635" cy="85547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6635" cy="8554720"/>
                    </a:xfrm>
                    <a:prstGeom prst="rect">
                      <a:avLst/>
                    </a:prstGeom>
                    <a:noFill/>
                  </pic:spPr>
                </pic:pic>
              </a:graphicData>
            </a:graphic>
          </wp:inline>
        </w:drawing>
      </w:r>
      <w:r w:rsidR="005D0443">
        <w:rPr>
          <w:noProof/>
          <w:lang w:eastAsia="en-GB"/>
        </w:rPr>
        <w:lastRenderedPageBreak/>
        <w:drawing>
          <wp:inline distT="0" distB="0" distL="0" distR="0" wp14:anchorId="127EDFC7">
            <wp:extent cx="6134735" cy="86690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34735" cy="8669020"/>
                    </a:xfrm>
                    <a:prstGeom prst="rect">
                      <a:avLst/>
                    </a:prstGeom>
                    <a:noFill/>
                  </pic:spPr>
                </pic:pic>
              </a:graphicData>
            </a:graphic>
          </wp:inline>
        </w:drawing>
      </w:r>
      <w:r w:rsidR="005D0443">
        <w:rPr>
          <w:noProof/>
          <w:lang w:eastAsia="en-GB"/>
        </w:rPr>
        <w:lastRenderedPageBreak/>
        <w:drawing>
          <wp:inline distT="0" distB="0" distL="0" distR="0" wp14:anchorId="660F14DB">
            <wp:extent cx="6134735" cy="8621395"/>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34735" cy="8621395"/>
                    </a:xfrm>
                    <a:prstGeom prst="rect">
                      <a:avLst/>
                    </a:prstGeom>
                    <a:noFill/>
                  </pic:spPr>
                </pic:pic>
              </a:graphicData>
            </a:graphic>
          </wp:inline>
        </w:drawing>
      </w:r>
    </w:p>
    <w:p w:rsidR="005D0443" w:rsidRDefault="005D0443" w:rsidP="005D0443">
      <w:pPr>
        <w:rPr>
          <w:lang w:eastAsia="en-GB"/>
        </w:rPr>
      </w:pPr>
      <w:r>
        <w:rPr>
          <w:lang w:eastAsia="en-GB"/>
        </w:rPr>
        <w:lastRenderedPageBreak/>
        <w:br w:type="page"/>
      </w:r>
    </w:p>
    <w:p w:rsidR="0004147B" w:rsidRDefault="005D0443" w:rsidP="005D0443">
      <w:pPr>
        <w:pStyle w:val="Heading1"/>
        <w:rPr>
          <w:lang w:eastAsia="en-GB"/>
        </w:rPr>
      </w:pPr>
      <w:bookmarkStart w:id="9" w:name="_Toc105665199"/>
      <w:r>
        <w:rPr>
          <w:lang w:eastAsia="en-GB"/>
        </w:rPr>
        <w:lastRenderedPageBreak/>
        <w:t>Appendix B:  Letters of Support from Healthcare System</w:t>
      </w:r>
      <w:bookmarkEnd w:id="9"/>
    </w:p>
    <w:p w:rsidR="00B35150" w:rsidRDefault="00B35150">
      <w:pPr>
        <w:spacing w:after="200" w:line="276" w:lineRule="auto"/>
        <w:rPr>
          <w:lang w:eastAsia="en-GB"/>
        </w:rPr>
      </w:pPr>
    </w:p>
    <w:p w:rsidR="000779CF" w:rsidRDefault="000F2D45">
      <w:pPr>
        <w:spacing w:after="200" w:line="276" w:lineRule="auto"/>
        <w:rPr>
          <w:lang w:eastAsia="en-GB"/>
        </w:rPr>
      </w:pPr>
      <w:r>
        <w:rPr>
          <w:lang w:eastAsia="en-GB"/>
        </w:rPr>
        <w:t>Removed for GDPR</w:t>
      </w:r>
    </w:p>
    <w:p w:rsidR="000779CF" w:rsidRDefault="000779CF">
      <w:pPr>
        <w:spacing w:after="200" w:line="276" w:lineRule="auto"/>
        <w:rPr>
          <w:lang w:eastAsia="en-GB"/>
        </w:rPr>
      </w:pPr>
    </w:p>
    <w:p w:rsidR="00B35150" w:rsidRDefault="00B35150">
      <w:pPr>
        <w:spacing w:after="200" w:line="276" w:lineRule="auto"/>
        <w:rPr>
          <w:lang w:eastAsia="en-GB"/>
        </w:rPr>
      </w:pPr>
    </w:p>
    <w:p w:rsidR="00DF7F41" w:rsidRDefault="00DF7F41">
      <w:pPr>
        <w:spacing w:after="200" w:line="276" w:lineRule="auto"/>
        <w:rPr>
          <w:lang w:eastAsia="en-GB"/>
        </w:rPr>
      </w:pPr>
      <w:r>
        <w:rPr>
          <w:lang w:eastAsia="en-GB"/>
        </w:rPr>
        <w:br w:type="page"/>
      </w:r>
    </w:p>
    <w:p w:rsidR="00DF7F41" w:rsidRDefault="00DF7F41" w:rsidP="00DF7F41">
      <w:pPr>
        <w:pStyle w:val="Date"/>
        <w:rPr>
          <w:szCs w:val="24"/>
          <w:lang w:val="en-GB"/>
        </w:rPr>
      </w:pPr>
      <w:r>
        <w:rPr>
          <w:noProof/>
          <w:lang w:val="en-GB" w:eastAsia="en-GB"/>
        </w:rPr>
        <w:lastRenderedPageBreak/>
        <mc:AlternateContent>
          <mc:Choice Requires="wps">
            <w:drawing>
              <wp:inline distT="0" distB="0" distL="0" distR="0" wp14:anchorId="10C7FB36" wp14:editId="62FCEE1A">
                <wp:extent cx="6482932" cy="1341485"/>
                <wp:effectExtent l="0" t="0" r="6985" b="0"/>
                <wp:docPr id="294" name="Text Box 294"/>
                <wp:cNvGraphicFramePr/>
                <a:graphic xmlns:a="http://schemas.openxmlformats.org/drawingml/2006/main">
                  <a:graphicData uri="http://schemas.microsoft.com/office/word/2010/wordprocessingShape">
                    <wps:wsp>
                      <wps:cNvSpPr txBox="1"/>
                      <wps:spPr>
                        <a:xfrm>
                          <a:off x="0" y="0"/>
                          <a:ext cx="6482932" cy="1341485"/>
                        </a:xfrm>
                        <a:prstGeom prst="rect">
                          <a:avLst/>
                        </a:prstGeom>
                        <a:noFill/>
                        <a:ln w="6350">
                          <a:noFill/>
                        </a:ln>
                      </wps:spPr>
                      <wps:txbx>
                        <w:txbxContent>
                          <w:p w:rsidR="00336A14" w:rsidRPr="00696B81" w:rsidRDefault="00336A14" w:rsidP="00DF7F41">
                            <w:pPr>
                              <w:spacing w:after="120"/>
                              <w:jc w:val="right"/>
                              <w:rPr>
                                <w:sz w:val="20"/>
                                <w:szCs w:val="20"/>
                              </w:rPr>
                            </w:pPr>
                            <w:r w:rsidRPr="00A107EB">
                              <w:rPr>
                                <w:b/>
                                <w:bCs/>
                                <w:color w:val="4F81BD" w:themeColor="accent1"/>
                                <w:sz w:val="20"/>
                                <w:szCs w:val="20"/>
                              </w:rPr>
                              <w:t>Lincolnshire CCG</w:t>
                            </w:r>
                            <w:r>
                              <w:rPr>
                                <w:sz w:val="20"/>
                                <w:szCs w:val="20"/>
                              </w:rPr>
                              <w:t xml:space="preserve"> </w:t>
                            </w:r>
                            <w:r>
                              <w:rPr>
                                <w:sz w:val="20"/>
                                <w:szCs w:val="20"/>
                              </w:rPr>
                              <w:br/>
                            </w:r>
                            <w:r w:rsidRPr="00696B81">
                              <w:rPr>
                                <w:sz w:val="20"/>
                                <w:szCs w:val="20"/>
                              </w:rPr>
                              <w:t xml:space="preserve">Bridge House </w:t>
                            </w:r>
                            <w:r>
                              <w:rPr>
                                <w:sz w:val="20"/>
                                <w:szCs w:val="20"/>
                              </w:rPr>
                              <w:br/>
                            </w:r>
                            <w:proofErr w:type="gramStart"/>
                            <w:r w:rsidRPr="00696B81">
                              <w:rPr>
                                <w:sz w:val="20"/>
                                <w:szCs w:val="20"/>
                              </w:rPr>
                              <w:t>The</w:t>
                            </w:r>
                            <w:proofErr w:type="gramEnd"/>
                            <w:r w:rsidRPr="00696B81">
                              <w:rPr>
                                <w:sz w:val="20"/>
                                <w:szCs w:val="20"/>
                              </w:rPr>
                              <w:t xml:space="preserve"> Point</w:t>
                            </w:r>
                            <w:r>
                              <w:rPr>
                                <w:sz w:val="20"/>
                                <w:szCs w:val="20"/>
                              </w:rPr>
                              <w:br/>
                              <w:t xml:space="preserve"> </w:t>
                            </w:r>
                            <w:r w:rsidRPr="00696B81">
                              <w:rPr>
                                <w:sz w:val="20"/>
                                <w:szCs w:val="20"/>
                              </w:rPr>
                              <w:t>Lions Way</w:t>
                            </w:r>
                            <w:r>
                              <w:rPr>
                                <w:sz w:val="20"/>
                                <w:szCs w:val="20"/>
                              </w:rPr>
                              <w:br/>
                            </w:r>
                            <w:r w:rsidRPr="00696B81">
                              <w:rPr>
                                <w:sz w:val="20"/>
                                <w:szCs w:val="20"/>
                              </w:rPr>
                              <w:t>Sleaford</w:t>
                            </w:r>
                            <w:r>
                              <w:rPr>
                                <w:sz w:val="20"/>
                                <w:szCs w:val="20"/>
                              </w:rPr>
                              <w:br/>
                            </w:r>
                            <w:r w:rsidRPr="00696B81">
                              <w:rPr>
                                <w:sz w:val="20"/>
                                <w:szCs w:val="20"/>
                              </w:rPr>
                              <w:t>NG34 8GG</w:t>
                            </w:r>
                          </w:p>
                          <w:p w:rsidR="00336A14" w:rsidRPr="00A107EB" w:rsidRDefault="00336A14" w:rsidP="00DF7F41">
                            <w:pPr>
                              <w:jc w:val="right"/>
                              <w:rPr>
                                <w:sz w:val="20"/>
                                <w:szCs w:val="20"/>
                              </w:rPr>
                            </w:pPr>
                            <w:r w:rsidRPr="00696B81">
                              <w:rPr>
                                <w:b/>
                                <w:bCs/>
                                <w:sz w:val="20"/>
                                <w:szCs w:val="20"/>
                              </w:rPr>
                              <w:t>Telephone:</w:t>
                            </w:r>
                            <w:r w:rsidRPr="00696B81">
                              <w:rPr>
                                <w:sz w:val="20"/>
                                <w:szCs w:val="20"/>
                              </w:rPr>
                              <w:t xml:space="preserve"> 01522 </w:t>
                            </w:r>
                            <w:proofErr w:type="gramStart"/>
                            <w:r w:rsidRPr="00696B81">
                              <w:rPr>
                                <w:sz w:val="20"/>
                                <w:szCs w:val="20"/>
                              </w:rPr>
                              <w:t xml:space="preserve">573939  </w:t>
                            </w:r>
                            <w:proofErr w:type="gramEnd"/>
                            <w:r>
                              <w:rPr>
                                <w:sz w:val="20"/>
                                <w:szCs w:val="20"/>
                              </w:rPr>
                              <w:br/>
                            </w:r>
                            <w:r w:rsidRPr="00696B81">
                              <w:rPr>
                                <w:b/>
                                <w:bCs/>
                                <w:sz w:val="20"/>
                                <w:szCs w:val="20"/>
                              </w:rPr>
                              <w:t>Email:</w:t>
                            </w:r>
                            <w:r w:rsidRPr="00696B81">
                              <w:rPr>
                                <w:sz w:val="20"/>
                                <w:szCs w:val="20"/>
                              </w:rPr>
                              <w:t> </w:t>
                            </w:r>
                            <w:hyperlink r:id="rId15" w:history="1">
                              <w:r w:rsidRPr="00696B81">
                                <w:rPr>
                                  <w:sz w:val="20"/>
                                  <w:szCs w:val="20"/>
                                  <w:u w:val="single"/>
                                </w:rPr>
                                <w:t>lccg.office@nhs.net</w:t>
                              </w:r>
                            </w:hyperlink>
                          </w:p>
                        </w:txbxContent>
                      </wps:txbx>
                      <wps:bodyPr rot="0" spcFirstLastPara="0" vertOverflow="overflow" horzOverflow="overflow" vert="horz" wrap="square" lIns="0" tIns="0" rIns="0" bIns="36000" numCol="1" spcCol="0" rtlCol="0" fromWordArt="0" anchor="b" anchorCtr="0" forceAA="0" compatLnSpc="1">
                        <a:prstTxWarp prst="textNoShape">
                          <a:avLst/>
                        </a:prstTxWarp>
                        <a:noAutofit/>
                      </wps:bodyPr>
                    </wps:wsp>
                  </a:graphicData>
                </a:graphic>
              </wp:inline>
            </w:drawing>
          </mc:Choice>
          <mc:Fallback>
            <w:pict>
              <v:shapetype w14:anchorId="10C7FB36" id="_x0000_t202" coordsize="21600,21600" o:spt="202" path="m,l,21600r21600,l21600,xe">
                <v:stroke joinstyle="miter"/>
                <v:path gradientshapeok="t" o:connecttype="rect"/>
              </v:shapetype>
              <v:shape id="Text Box 294" o:spid="_x0000_s1026" type="#_x0000_t202" style="width:510.45pt;height:105.6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" filled="f" stroked="f" strokeweight=".5pt">
                <v:textbox inset="0,0,0,1mm">
                  <w:txbxContent>
                    <w:p w:rsidR="00336A14" w:rsidRPr="00696B81" w:rsidRDefault="00336A14" w:rsidP="00DF7F41">
                      <w:pPr>
                        <w:spacing w:after="120"/>
                        <w:jc w:val="right"/>
                        <w:rPr>
                          <w:sz w:val="20"/>
                          <w:szCs w:val="20"/>
                        </w:rPr>
                      </w:pPr>
                      <w:r w:rsidRPr="00A107EB">
                        <w:rPr>
                          <w:b/>
                          <w:bCs/>
                          <w:color w:val="4F81BD" w:themeColor="accent1"/>
                          <w:sz w:val="20"/>
                          <w:szCs w:val="20"/>
                        </w:rPr>
                        <w:t>Lincolnshire CCG</w:t>
                      </w:r>
                      <w:r>
                        <w:rPr>
                          <w:sz w:val="20"/>
                          <w:szCs w:val="20"/>
                        </w:rPr>
                        <w:t xml:space="preserve"> </w:t>
                      </w:r>
                      <w:r>
                        <w:rPr>
                          <w:sz w:val="20"/>
                          <w:szCs w:val="20"/>
                        </w:rPr>
                        <w:br/>
                      </w:r>
                      <w:r w:rsidRPr="00696B81">
                        <w:rPr>
                          <w:sz w:val="20"/>
                          <w:szCs w:val="20"/>
                        </w:rPr>
                        <w:t xml:space="preserve">Bridge House </w:t>
                      </w:r>
                      <w:r>
                        <w:rPr>
                          <w:sz w:val="20"/>
                          <w:szCs w:val="20"/>
                        </w:rPr>
                        <w:br/>
                      </w:r>
                      <w:proofErr w:type="gramStart"/>
                      <w:r w:rsidRPr="00696B81">
                        <w:rPr>
                          <w:sz w:val="20"/>
                          <w:szCs w:val="20"/>
                        </w:rPr>
                        <w:t>The</w:t>
                      </w:r>
                      <w:proofErr w:type="gramEnd"/>
                      <w:r w:rsidRPr="00696B81">
                        <w:rPr>
                          <w:sz w:val="20"/>
                          <w:szCs w:val="20"/>
                        </w:rPr>
                        <w:t xml:space="preserve"> Point</w:t>
                      </w:r>
                      <w:r>
                        <w:rPr>
                          <w:sz w:val="20"/>
                          <w:szCs w:val="20"/>
                        </w:rPr>
                        <w:br/>
                        <w:t xml:space="preserve"> </w:t>
                      </w:r>
                      <w:r w:rsidRPr="00696B81">
                        <w:rPr>
                          <w:sz w:val="20"/>
                          <w:szCs w:val="20"/>
                        </w:rPr>
                        <w:t>Lions Way</w:t>
                      </w:r>
                      <w:r>
                        <w:rPr>
                          <w:sz w:val="20"/>
                          <w:szCs w:val="20"/>
                        </w:rPr>
                        <w:br/>
                      </w:r>
                      <w:r w:rsidRPr="00696B81">
                        <w:rPr>
                          <w:sz w:val="20"/>
                          <w:szCs w:val="20"/>
                        </w:rPr>
                        <w:t>Sleaford</w:t>
                      </w:r>
                      <w:r>
                        <w:rPr>
                          <w:sz w:val="20"/>
                          <w:szCs w:val="20"/>
                        </w:rPr>
                        <w:br/>
                      </w:r>
                      <w:r w:rsidRPr="00696B81">
                        <w:rPr>
                          <w:sz w:val="20"/>
                          <w:szCs w:val="20"/>
                        </w:rPr>
                        <w:t>NG34 8GG</w:t>
                      </w:r>
                    </w:p>
                    <w:p w:rsidR="00336A14" w:rsidRPr="00A107EB" w:rsidRDefault="00336A14" w:rsidP="00DF7F41">
                      <w:pPr>
                        <w:jc w:val="right"/>
                        <w:rPr>
                          <w:sz w:val="20"/>
                          <w:szCs w:val="20"/>
                        </w:rPr>
                      </w:pPr>
                      <w:r w:rsidRPr="00696B81">
                        <w:rPr>
                          <w:b/>
                          <w:bCs/>
                          <w:sz w:val="20"/>
                          <w:szCs w:val="20"/>
                        </w:rPr>
                        <w:t>Telephone:</w:t>
                      </w:r>
                      <w:r w:rsidRPr="00696B81">
                        <w:rPr>
                          <w:sz w:val="20"/>
                          <w:szCs w:val="20"/>
                        </w:rPr>
                        <w:t xml:space="preserve"> 01522 </w:t>
                      </w:r>
                      <w:proofErr w:type="gramStart"/>
                      <w:r w:rsidRPr="00696B81">
                        <w:rPr>
                          <w:sz w:val="20"/>
                          <w:szCs w:val="20"/>
                        </w:rPr>
                        <w:t xml:space="preserve">573939  </w:t>
                      </w:r>
                      <w:proofErr w:type="gramEnd"/>
                      <w:r>
                        <w:rPr>
                          <w:sz w:val="20"/>
                          <w:szCs w:val="20"/>
                        </w:rPr>
                        <w:br/>
                      </w:r>
                      <w:r w:rsidRPr="00696B81">
                        <w:rPr>
                          <w:b/>
                          <w:bCs/>
                          <w:sz w:val="20"/>
                          <w:szCs w:val="20"/>
                        </w:rPr>
                        <w:t>Email:</w:t>
                      </w:r>
                      <w:r w:rsidRPr="00696B81">
                        <w:rPr>
                          <w:sz w:val="20"/>
                          <w:szCs w:val="20"/>
                        </w:rPr>
                        <w:t> </w:t>
                      </w:r>
                      <w:hyperlink r:id="rId16" w:history="1">
                        <w:r w:rsidRPr="00696B81">
                          <w:rPr>
                            <w:sz w:val="20"/>
                            <w:szCs w:val="20"/>
                            <w:u w:val="single"/>
                          </w:rPr>
                          <w:t>lccg.office@nhs.net</w:t>
                        </w:r>
                      </w:hyperlink>
                    </w:p>
                  </w:txbxContent>
                </v:textbox>
                <w10:anchorlock/>
              </v:shape>
            </w:pict>
          </mc:Fallback>
        </mc:AlternateContent>
      </w:r>
    </w:p>
    <w:p w:rsidR="00DF7F41" w:rsidRPr="00C83ED4" w:rsidRDefault="004E77B4" w:rsidP="00DF7F41">
      <w:pPr>
        <w:pStyle w:val="Date"/>
        <w:rPr>
          <w:color w:val="auto"/>
          <w:sz w:val="22"/>
          <w:szCs w:val="22"/>
          <w:lang w:val="en-GB"/>
        </w:rPr>
      </w:pPr>
      <w:sdt>
        <w:sdtPr>
          <w:rPr>
            <w:color w:val="auto"/>
            <w:szCs w:val="24"/>
            <w:lang w:val="en-GB"/>
          </w:rPr>
          <w:id w:val="1001014073"/>
          <w:placeholder>
            <w:docPart w:val="CC9836C40F7B41AF8EC846897A68B2FC"/>
          </w:placeholder>
        </w:sdtPr>
        <w:sdtEndPr>
          <w:rPr>
            <w:sz w:val="22"/>
            <w:szCs w:val="22"/>
          </w:rPr>
        </w:sdtEndPr>
        <w:sdtContent>
          <w:r w:rsidR="00DF7F41" w:rsidRPr="00C83ED4">
            <w:rPr>
              <w:color w:val="auto"/>
              <w:sz w:val="22"/>
              <w:szCs w:val="22"/>
              <w:lang w:val="en-GB"/>
            </w:rPr>
            <w:t>14 March 2022</w:t>
          </w:r>
        </w:sdtContent>
      </w:sdt>
    </w:p>
    <w:p w:rsidR="00DF7F41" w:rsidRPr="00C83ED4" w:rsidRDefault="00DF7F41" w:rsidP="00DF7F41">
      <w:pPr>
        <w:pStyle w:val="Address"/>
        <w:rPr>
          <w:color w:val="auto"/>
          <w:sz w:val="22"/>
          <w:szCs w:val="24"/>
        </w:rPr>
      </w:pPr>
      <w:r w:rsidRPr="00C83ED4">
        <w:rPr>
          <w:color w:val="auto"/>
          <w:sz w:val="22"/>
          <w:szCs w:val="24"/>
        </w:rPr>
        <w:t>Associate Director of Contracts &amp; Income</w:t>
      </w:r>
    </w:p>
    <w:p w:rsidR="00DF7F41" w:rsidRPr="00C83ED4" w:rsidRDefault="00DF7F41" w:rsidP="00DF7F41">
      <w:pPr>
        <w:pStyle w:val="Address"/>
        <w:rPr>
          <w:color w:val="auto"/>
          <w:sz w:val="22"/>
          <w:szCs w:val="24"/>
        </w:rPr>
      </w:pPr>
      <w:r w:rsidRPr="00C83ED4">
        <w:rPr>
          <w:color w:val="auto"/>
          <w:sz w:val="22"/>
          <w:szCs w:val="24"/>
        </w:rPr>
        <w:t>United Lincolnshire Hospitals NHS Trust</w:t>
      </w:r>
    </w:p>
    <w:p w:rsidR="00DF7F41" w:rsidRPr="00C83ED4" w:rsidRDefault="00DF7F41" w:rsidP="00DF7F41">
      <w:pPr>
        <w:pStyle w:val="Address"/>
        <w:rPr>
          <w:color w:val="auto"/>
          <w:sz w:val="22"/>
          <w:szCs w:val="24"/>
          <w:lang w:val="en-GB"/>
        </w:rPr>
      </w:pPr>
      <w:r w:rsidRPr="00C83ED4">
        <w:rPr>
          <w:color w:val="auto"/>
          <w:sz w:val="22"/>
          <w:szCs w:val="24"/>
          <w:lang w:val="en-GB"/>
        </w:rPr>
        <w:t>Lincoln County Hospital</w:t>
      </w:r>
    </w:p>
    <w:p w:rsidR="00DF7F41" w:rsidRPr="00C83ED4" w:rsidRDefault="00DF7F41" w:rsidP="00DF7F41">
      <w:pPr>
        <w:pStyle w:val="Address"/>
        <w:rPr>
          <w:color w:val="auto"/>
          <w:sz w:val="22"/>
          <w:szCs w:val="24"/>
          <w:lang w:val="en-GB"/>
        </w:rPr>
      </w:pPr>
      <w:proofErr w:type="spellStart"/>
      <w:r w:rsidRPr="00C83ED4">
        <w:rPr>
          <w:color w:val="auto"/>
          <w:sz w:val="22"/>
          <w:szCs w:val="24"/>
          <w:lang w:val="en-GB"/>
        </w:rPr>
        <w:t>Greetwell</w:t>
      </w:r>
      <w:proofErr w:type="spellEnd"/>
      <w:r w:rsidRPr="00C83ED4">
        <w:rPr>
          <w:color w:val="auto"/>
          <w:sz w:val="22"/>
          <w:szCs w:val="24"/>
          <w:lang w:val="en-GB"/>
        </w:rPr>
        <w:t xml:space="preserve"> Road</w:t>
      </w:r>
    </w:p>
    <w:p w:rsidR="00DF7F41" w:rsidRPr="00C83ED4" w:rsidRDefault="00DF7F41" w:rsidP="00DF7F41">
      <w:pPr>
        <w:pStyle w:val="Address"/>
        <w:rPr>
          <w:color w:val="auto"/>
          <w:sz w:val="22"/>
          <w:szCs w:val="24"/>
          <w:lang w:val="en-GB"/>
        </w:rPr>
      </w:pPr>
      <w:r w:rsidRPr="00C83ED4">
        <w:rPr>
          <w:color w:val="auto"/>
          <w:sz w:val="22"/>
          <w:szCs w:val="24"/>
          <w:lang w:val="en-GB"/>
        </w:rPr>
        <w:t>Lincoln</w:t>
      </w:r>
    </w:p>
    <w:p w:rsidR="00DF7F41" w:rsidRPr="00C83ED4" w:rsidRDefault="00DF7F41" w:rsidP="00DF7F41">
      <w:pPr>
        <w:pStyle w:val="Address"/>
        <w:rPr>
          <w:color w:val="auto"/>
          <w:sz w:val="22"/>
          <w:szCs w:val="24"/>
          <w:lang w:val="en-GB"/>
        </w:rPr>
      </w:pPr>
      <w:r w:rsidRPr="00C83ED4">
        <w:rPr>
          <w:color w:val="auto"/>
          <w:sz w:val="22"/>
          <w:szCs w:val="24"/>
          <w:lang w:val="en-GB"/>
        </w:rPr>
        <w:t>LN2 5QY</w:t>
      </w:r>
    </w:p>
    <w:p w:rsidR="00DF7F41" w:rsidRDefault="00DF7F41" w:rsidP="00DF7F41">
      <w:pPr>
        <w:pStyle w:val="Address"/>
        <w:rPr>
          <w:lang w:val="en-GB"/>
        </w:rPr>
      </w:pPr>
    </w:p>
    <w:p w:rsidR="00DF7F41" w:rsidRDefault="00DF7F41" w:rsidP="00DF7F41">
      <w:pPr>
        <w:pStyle w:val="Address"/>
        <w:rPr>
          <w:color w:val="8064A2" w:themeColor="accent4"/>
          <w:lang w:bidi="en-GB"/>
        </w:rPr>
      </w:pPr>
    </w:p>
    <w:p w:rsidR="00DF7F41" w:rsidRDefault="00DF7F41" w:rsidP="00DF7F41">
      <w:pPr>
        <w:pStyle w:val="Address"/>
        <w:rPr>
          <w:color w:val="8064A2" w:themeColor="accent4"/>
          <w:lang w:bidi="en-GB"/>
        </w:rPr>
      </w:pPr>
    </w:p>
    <w:p w:rsidR="00DF7F41" w:rsidRPr="00C83ED4" w:rsidRDefault="00DF7F41" w:rsidP="00DF7F41">
      <w:pPr>
        <w:pStyle w:val="Address"/>
        <w:rPr>
          <w:color w:val="auto"/>
          <w:sz w:val="22"/>
          <w:szCs w:val="24"/>
        </w:rPr>
      </w:pPr>
      <w:r w:rsidRPr="00C83ED4">
        <w:rPr>
          <w:color w:val="auto"/>
          <w:sz w:val="22"/>
          <w:szCs w:val="24"/>
          <w:lang w:bidi="en-GB"/>
        </w:rPr>
        <w:t>Dear</w:t>
      </w:r>
      <w:r w:rsidR="000F2D45">
        <w:rPr>
          <w:color w:val="auto"/>
          <w:sz w:val="22"/>
          <w:szCs w:val="24"/>
          <w:lang w:bidi="en-GB"/>
        </w:rPr>
        <w:t xml:space="preserve"> </w:t>
      </w:r>
      <w:r w:rsidR="000F2D45" w:rsidRPr="000F2D45">
        <w:rPr>
          <w:color w:val="auto"/>
          <w:sz w:val="22"/>
          <w:szCs w:val="24"/>
          <w:highlight w:val="black"/>
          <w:lang w:bidi="en-GB"/>
        </w:rPr>
        <w:t>XXXX</w:t>
      </w:r>
      <w:r w:rsidRPr="00C83ED4">
        <w:rPr>
          <w:color w:val="auto"/>
          <w:sz w:val="22"/>
          <w:szCs w:val="24"/>
        </w:rPr>
        <w:t xml:space="preserve">, </w:t>
      </w:r>
    </w:p>
    <w:p w:rsidR="00DF7F41" w:rsidRPr="00C83ED4" w:rsidRDefault="00DF7F41" w:rsidP="00DF7F41">
      <w:pPr>
        <w:pStyle w:val="Signature"/>
        <w:spacing w:after="0"/>
        <w:rPr>
          <w:b/>
          <w:color w:val="auto"/>
          <w:sz w:val="22"/>
          <w:szCs w:val="24"/>
          <w:lang w:val="en-GB"/>
        </w:rPr>
      </w:pPr>
      <w:r w:rsidRPr="00C83ED4">
        <w:rPr>
          <w:b/>
          <w:color w:val="auto"/>
          <w:sz w:val="22"/>
          <w:szCs w:val="24"/>
          <w:lang w:val="en-GB"/>
        </w:rPr>
        <w:t xml:space="preserve">Project to Develop Resuscitation Facilities, Improve Accommodation within the Urgent Treatment Centre and Reconfigure the Emergency Department at </w:t>
      </w:r>
    </w:p>
    <w:p w:rsidR="00DF7F41" w:rsidRPr="00C83ED4" w:rsidRDefault="00DF7F41" w:rsidP="00DF7F41">
      <w:pPr>
        <w:pStyle w:val="Signature"/>
        <w:spacing w:before="0" w:after="0"/>
        <w:rPr>
          <w:b/>
          <w:color w:val="auto"/>
          <w:sz w:val="22"/>
          <w:szCs w:val="24"/>
          <w:lang w:val="en-GB"/>
        </w:rPr>
      </w:pPr>
      <w:r w:rsidRPr="00C83ED4">
        <w:rPr>
          <w:b/>
          <w:color w:val="auto"/>
          <w:sz w:val="22"/>
          <w:szCs w:val="24"/>
          <w:lang w:val="en-GB"/>
        </w:rPr>
        <w:t>Pilgrim Hospital, Boston</w:t>
      </w:r>
    </w:p>
    <w:p w:rsidR="00DF7F41" w:rsidRPr="00C83ED4" w:rsidRDefault="00DF7F41" w:rsidP="00DF7F41">
      <w:pPr>
        <w:pStyle w:val="Signature"/>
        <w:rPr>
          <w:color w:val="auto"/>
          <w:sz w:val="22"/>
          <w:szCs w:val="24"/>
          <w:lang w:val="en-GB"/>
        </w:rPr>
      </w:pPr>
      <w:r w:rsidRPr="00C83ED4">
        <w:rPr>
          <w:color w:val="auto"/>
          <w:sz w:val="22"/>
          <w:szCs w:val="24"/>
          <w:lang w:val="en-GB"/>
        </w:rPr>
        <w:t xml:space="preserve">Following on from further work completed by ULHT with regards to the business case to develop and improve the Emergency Department at Pilgrim Hospital, NHS Lincolnshire CCG is writing to confirm its continued support for this project.  </w:t>
      </w:r>
    </w:p>
    <w:p w:rsidR="00DF7F41" w:rsidRPr="00C83ED4" w:rsidRDefault="00DF7F41" w:rsidP="00DF7F41">
      <w:pPr>
        <w:pStyle w:val="Signature"/>
        <w:rPr>
          <w:color w:val="auto"/>
          <w:sz w:val="22"/>
          <w:szCs w:val="24"/>
          <w:lang w:val="en-GB"/>
        </w:rPr>
      </w:pPr>
      <w:r w:rsidRPr="00C83ED4">
        <w:rPr>
          <w:color w:val="auto"/>
          <w:sz w:val="22"/>
          <w:szCs w:val="24"/>
          <w:lang w:val="en-GB"/>
        </w:rPr>
        <w:t xml:space="preserve">As per our letter of July 2021, we recognise the aim of this project is to develop resuscitation facilities, improve accommodation in the Urgent Treatment Centre and reconfigure the Emergency Department at Pilgrim Hospital, Boston.  This aligns to the national direction of travel for urgent care and addresses the issues and inherent difficulties faced at this hospital – an aging department and environment for our local population, insufficient capacity for patients to be seen in a timely and safe manner, and the impact on staff morale including recruitment and retention.  All of these factors have had an adverse effect on our top priority; excellent care for the patients of Lincolnshire. </w:t>
      </w:r>
    </w:p>
    <w:p w:rsidR="00DF7F41" w:rsidRPr="00C83ED4" w:rsidRDefault="00DF7F41" w:rsidP="00DF7F41">
      <w:pPr>
        <w:pStyle w:val="Signature"/>
        <w:rPr>
          <w:color w:val="auto"/>
          <w:sz w:val="22"/>
          <w:szCs w:val="24"/>
          <w:lang w:val="en-GB"/>
        </w:rPr>
      </w:pPr>
      <w:r w:rsidRPr="00C83ED4">
        <w:rPr>
          <w:color w:val="auto"/>
          <w:sz w:val="22"/>
          <w:szCs w:val="24"/>
          <w:lang w:val="en-GB"/>
        </w:rPr>
        <w:t xml:space="preserve">This scheme, whilst led by United Lincolnshire Hospitals NHS Trust, has consequences for the wider health and social care system and reflects the system approach we are taking to develop and transform our services.  In addition, we have staff from Lincolnshire Community Health Service NHS Trust and Lincolnshire Partnership NHS Foundation Trust within this department so this project will also create a better working environment for our health-system colleagues. We are aware that you are taking an update to our System Urgent Care Board to update on this project along with having conversations with other system stakeholders including </w:t>
      </w:r>
      <w:proofErr w:type="spellStart"/>
      <w:r w:rsidRPr="00C83ED4">
        <w:rPr>
          <w:color w:val="auto"/>
          <w:sz w:val="22"/>
          <w:szCs w:val="24"/>
          <w:lang w:val="en-GB"/>
        </w:rPr>
        <w:t>Healthwatch</w:t>
      </w:r>
      <w:proofErr w:type="spellEnd"/>
      <w:r w:rsidRPr="00C83ED4">
        <w:rPr>
          <w:color w:val="auto"/>
          <w:sz w:val="22"/>
          <w:szCs w:val="24"/>
          <w:lang w:val="en-GB"/>
        </w:rPr>
        <w:t xml:space="preserve"> and EMAS. </w:t>
      </w:r>
    </w:p>
    <w:p w:rsidR="00DF7F41" w:rsidRDefault="00DF7F41" w:rsidP="00DF7F41">
      <w:pPr>
        <w:pStyle w:val="Signature"/>
        <w:rPr>
          <w:color w:val="auto"/>
          <w:sz w:val="22"/>
          <w:szCs w:val="24"/>
          <w:lang w:val="en-GB"/>
        </w:rPr>
      </w:pPr>
    </w:p>
    <w:p w:rsidR="00DF7F41" w:rsidRPr="00C83ED4" w:rsidRDefault="00DF7F41" w:rsidP="00DF7F41">
      <w:pPr>
        <w:pStyle w:val="Signature"/>
        <w:rPr>
          <w:color w:val="auto"/>
          <w:sz w:val="22"/>
          <w:szCs w:val="24"/>
          <w:lang w:val="en-GB"/>
        </w:rPr>
      </w:pPr>
      <w:r w:rsidRPr="00C83ED4">
        <w:rPr>
          <w:color w:val="auto"/>
          <w:sz w:val="22"/>
          <w:szCs w:val="24"/>
          <w:lang w:val="en-GB"/>
        </w:rPr>
        <w:t>We have collectively identified a wider range of benefits to the general public in the area too, supporting our ambulance service and impacts on other services outside of health such as the police force.  The scheme has an impact on the public who can see that the government is investing heavily in the area and fits with the “levelling up” agenda.</w:t>
      </w:r>
    </w:p>
    <w:p w:rsidR="00DF7F41" w:rsidRPr="00C83ED4" w:rsidRDefault="00DF7F41" w:rsidP="00DF7F41">
      <w:pPr>
        <w:pStyle w:val="Signature"/>
        <w:rPr>
          <w:color w:val="auto"/>
          <w:sz w:val="22"/>
          <w:szCs w:val="24"/>
          <w:lang w:val="en-GB"/>
        </w:rPr>
      </w:pPr>
      <w:r w:rsidRPr="00C83ED4">
        <w:rPr>
          <w:color w:val="auto"/>
          <w:sz w:val="22"/>
          <w:szCs w:val="24"/>
          <w:lang w:val="en-GB"/>
        </w:rPr>
        <w:t xml:space="preserve">We are aware that the original allocation of funding, from the £850m for 20 health organisations announced by the Prime Minister on 5th August 2019, was for £21.3m.  This sum came from 2 separate strategic cases for UTC and expanded </w:t>
      </w:r>
      <w:proofErr w:type="spellStart"/>
      <w:r w:rsidRPr="00C83ED4">
        <w:rPr>
          <w:color w:val="auto"/>
          <w:sz w:val="22"/>
          <w:szCs w:val="24"/>
          <w:lang w:val="en-GB"/>
        </w:rPr>
        <w:t>resus</w:t>
      </w:r>
      <w:proofErr w:type="spellEnd"/>
      <w:r w:rsidRPr="00C83ED4">
        <w:rPr>
          <w:color w:val="auto"/>
          <w:sz w:val="22"/>
          <w:szCs w:val="24"/>
          <w:lang w:val="en-GB"/>
        </w:rPr>
        <w:t xml:space="preserve"> facilities developed some years earlier.  Through various workshops to develop this FBC a revised capital amount is requested inclusive of OBC/FBC fees.  This is a significant increase on the allocation and is a result of:</w:t>
      </w:r>
    </w:p>
    <w:p w:rsidR="00DF7F41" w:rsidRPr="00C83ED4" w:rsidRDefault="00DF7F41" w:rsidP="00DF7F41">
      <w:pPr>
        <w:pStyle w:val="Signature"/>
        <w:numPr>
          <w:ilvl w:val="0"/>
          <w:numId w:val="93"/>
        </w:numPr>
        <w:rPr>
          <w:color w:val="auto"/>
          <w:sz w:val="22"/>
          <w:szCs w:val="24"/>
          <w:lang w:val="en-GB"/>
        </w:rPr>
      </w:pPr>
      <w:r w:rsidRPr="00C83ED4">
        <w:rPr>
          <w:color w:val="auto"/>
          <w:sz w:val="22"/>
          <w:szCs w:val="24"/>
          <w:lang w:val="en-GB"/>
        </w:rPr>
        <w:t>Scope creep; the working group considers the whole of the ED at Pilgrim Hospital needs to be developed at the same time, rather than developing pockets in isolation.  This gives greater value for money and addresses the key issues facing the department;</w:t>
      </w:r>
    </w:p>
    <w:p w:rsidR="00DF7F41" w:rsidRPr="00C83ED4" w:rsidRDefault="00DF7F41" w:rsidP="00DF7F41">
      <w:pPr>
        <w:pStyle w:val="Signature"/>
        <w:numPr>
          <w:ilvl w:val="0"/>
          <w:numId w:val="93"/>
        </w:numPr>
        <w:rPr>
          <w:color w:val="auto"/>
          <w:sz w:val="22"/>
          <w:szCs w:val="24"/>
          <w:lang w:val="en-GB"/>
        </w:rPr>
      </w:pPr>
      <w:r w:rsidRPr="00C83ED4">
        <w:rPr>
          <w:color w:val="auto"/>
          <w:sz w:val="22"/>
          <w:szCs w:val="24"/>
          <w:lang w:val="en-GB"/>
        </w:rPr>
        <w:t>The time from the original strategic cases is significant and costs have increased;</w:t>
      </w:r>
    </w:p>
    <w:p w:rsidR="00DF7F41" w:rsidRPr="00C83ED4" w:rsidRDefault="00DF7F41" w:rsidP="00DF7F41">
      <w:pPr>
        <w:pStyle w:val="Signature"/>
        <w:numPr>
          <w:ilvl w:val="0"/>
          <w:numId w:val="93"/>
        </w:numPr>
        <w:rPr>
          <w:color w:val="auto"/>
          <w:sz w:val="22"/>
          <w:szCs w:val="24"/>
          <w:lang w:val="en-GB"/>
        </w:rPr>
      </w:pPr>
      <w:r w:rsidRPr="00C83ED4">
        <w:rPr>
          <w:color w:val="auto"/>
          <w:sz w:val="22"/>
          <w:szCs w:val="24"/>
          <w:lang w:val="en-GB"/>
        </w:rPr>
        <w:t xml:space="preserve">The original cases contained only a small amount for contingencies.  In consultation with HM Treasuries “Green Book” and the fact that this project is high risk an optimism bias of 24% was applied at OBC.  Subsequent uncertainties over decanting staff within one of the buildings has shown this value was wise to include.  </w:t>
      </w:r>
    </w:p>
    <w:p w:rsidR="00DF7F41" w:rsidRPr="00C83ED4" w:rsidRDefault="00DF7F41" w:rsidP="00DF7F41">
      <w:pPr>
        <w:pStyle w:val="Signature"/>
        <w:rPr>
          <w:color w:val="auto"/>
          <w:sz w:val="22"/>
          <w:szCs w:val="24"/>
          <w:lang w:val="en-GB"/>
        </w:rPr>
      </w:pPr>
      <w:r w:rsidRPr="00C83ED4">
        <w:rPr>
          <w:color w:val="auto"/>
          <w:sz w:val="22"/>
          <w:szCs w:val="24"/>
          <w:lang w:val="en-GB"/>
        </w:rPr>
        <w:t xml:space="preserve">We understand that work on the expansion will be completed within the 2024/25 financial year and will have some increased costs linked to staff although this will ensure improved patient flow and experience, reduced ambulance handover delays and a service that is future-proofed for the next 30 years. We will therefore work with you to ensure we understand the implications for the contract but also continue our work together to understand the benefits for the wider Lincolnshire system. Whilst we appreciate there are some unknowns of the 2024/25 Contracting and Payment mechanism, we will continue to work towards the open-book and transparent process on cost based contracting. </w:t>
      </w:r>
    </w:p>
    <w:p w:rsidR="00DF7F41" w:rsidRPr="00C83ED4" w:rsidRDefault="00DF7F41" w:rsidP="00DF7F41">
      <w:pPr>
        <w:pStyle w:val="Signature"/>
        <w:rPr>
          <w:color w:val="auto"/>
          <w:sz w:val="22"/>
          <w:szCs w:val="24"/>
          <w:lang w:val="en-GB"/>
        </w:rPr>
      </w:pPr>
      <w:r w:rsidRPr="00C83ED4">
        <w:rPr>
          <w:color w:val="auto"/>
          <w:sz w:val="22"/>
          <w:szCs w:val="24"/>
          <w:lang w:val="en-GB"/>
        </w:rPr>
        <w:t>In summary, this project is approved by the system and will be integral in our continued journey to improve healthcare for the Lincolnshire population.</w:t>
      </w:r>
    </w:p>
    <w:p w:rsidR="00DF7F41" w:rsidRPr="00C83ED4" w:rsidRDefault="00DF7F41" w:rsidP="00DF7F41">
      <w:pPr>
        <w:pStyle w:val="Signature"/>
        <w:rPr>
          <w:color w:val="auto"/>
          <w:sz w:val="22"/>
          <w:szCs w:val="24"/>
        </w:rPr>
      </w:pPr>
      <w:r w:rsidRPr="00C83ED4">
        <w:rPr>
          <w:color w:val="auto"/>
          <w:sz w:val="22"/>
          <w:szCs w:val="24"/>
        </w:rPr>
        <w:t>Yours sincerely,</w:t>
      </w:r>
    </w:p>
    <w:p w:rsidR="00DF7F41" w:rsidRPr="00C83ED4" w:rsidRDefault="00DF7F41" w:rsidP="00DF7F41">
      <w:pPr>
        <w:tabs>
          <w:tab w:val="left" w:pos="540"/>
        </w:tabs>
        <w:rPr>
          <w:rFonts w:eastAsiaTheme="minorEastAsia"/>
          <w:b/>
          <w:bCs/>
          <w:sz w:val="22"/>
          <w:lang w:bidi="en-GB"/>
        </w:rPr>
      </w:pPr>
      <w:r w:rsidRPr="00C83ED4">
        <w:rPr>
          <w:rFonts w:eastAsiaTheme="minorEastAsia"/>
          <w:sz w:val="22"/>
          <w:lang w:bidi="en-GB"/>
        </w:rPr>
        <w:t xml:space="preserve">Associate Director of Contracting and Performance     </w:t>
      </w:r>
    </w:p>
    <w:p w:rsidR="00DF7F41" w:rsidRPr="00455AC9" w:rsidRDefault="00DF7F41" w:rsidP="00DF7F41">
      <w:pPr>
        <w:tabs>
          <w:tab w:val="left" w:pos="540"/>
        </w:tabs>
        <w:rPr>
          <w:lang w:val="en-US"/>
        </w:rPr>
      </w:pPr>
    </w:p>
    <w:p w:rsidR="00DF7F41" w:rsidRPr="00DF7F41" w:rsidRDefault="00DF7F41" w:rsidP="00DF7F41">
      <w:pPr>
        <w:rPr>
          <w:lang w:eastAsia="en-GB"/>
        </w:rPr>
      </w:pPr>
    </w:p>
    <w:p w:rsidR="00CC17EF" w:rsidRDefault="00CC17EF" w:rsidP="00CC17EF">
      <w:pPr>
        <w:rPr>
          <w:lang w:eastAsia="en-GB"/>
        </w:rPr>
      </w:pPr>
    </w:p>
    <w:p w:rsidR="00CC17EF" w:rsidRDefault="00CC17EF" w:rsidP="00CC17EF">
      <w:pPr>
        <w:rPr>
          <w:lang w:eastAsia="en-GB"/>
        </w:rPr>
      </w:pPr>
    </w:p>
    <w:p w:rsidR="00CC17EF" w:rsidRDefault="00CC17EF" w:rsidP="00CC17EF">
      <w:pPr>
        <w:rPr>
          <w:lang w:eastAsia="en-GB"/>
        </w:rPr>
      </w:pPr>
    </w:p>
    <w:p w:rsidR="00CC17EF" w:rsidRDefault="00CC17EF">
      <w:pPr>
        <w:spacing w:after="200" w:line="276" w:lineRule="auto"/>
        <w:rPr>
          <w:lang w:eastAsia="en-GB"/>
        </w:rPr>
      </w:pPr>
      <w:r>
        <w:rPr>
          <w:lang w:eastAsia="en-GB"/>
        </w:rPr>
        <w:br w:type="page"/>
      </w:r>
    </w:p>
    <w:p w:rsidR="00CC17EF" w:rsidRDefault="00CC17EF" w:rsidP="00CC17EF">
      <w:pPr>
        <w:pStyle w:val="Heading1"/>
        <w:rPr>
          <w:lang w:eastAsia="en-GB"/>
        </w:rPr>
      </w:pPr>
      <w:bookmarkStart w:id="10" w:name="_Toc105665200"/>
      <w:r>
        <w:rPr>
          <w:lang w:eastAsia="en-GB"/>
        </w:rPr>
        <w:lastRenderedPageBreak/>
        <w:t>Appendix C:  NHSI Capital Business Case Core Checklist</w:t>
      </w:r>
      <w:bookmarkEnd w:id="10"/>
    </w:p>
    <w:p w:rsidR="00CC17EF" w:rsidRDefault="00CC17EF" w:rsidP="00CC17EF">
      <w:pPr>
        <w:rPr>
          <w:lang w:eastAsia="en-GB"/>
        </w:rPr>
      </w:pPr>
    </w:p>
    <w:p w:rsidR="00CC17EF" w:rsidRDefault="00CC17EF" w:rsidP="00CC17EF">
      <w:pPr>
        <w:rPr>
          <w:lang w:eastAsia="en-GB"/>
        </w:rPr>
      </w:pPr>
    </w:p>
    <w:p w:rsidR="00CC17EF" w:rsidRDefault="00CC17EF" w:rsidP="00CC17EF">
      <w:pPr>
        <w:rPr>
          <w:lang w:eastAsia="en-GB"/>
        </w:rPr>
      </w:pPr>
    </w:p>
    <w:p w:rsidR="00CC17EF" w:rsidRDefault="00CC17EF">
      <w:pPr>
        <w:spacing w:after="200" w:line="276" w:lineRule="auto"/>
        <w:rPr>
          <w:lang w:eastAsia="en-GB"/>
        </w:rPr>
      </w:pPr>
      <w:r>
        <w:rPr>
          <w:lang w:eastAsia="en-GB"/>
        </w:rPr>
        <w:br w:type="page"/>
      </w:r>
    </w:p>
    <w:p w:rsidR="00CC17EF" w:rsidRDefault="00CC17EF" w:rsidP="00CC17EF">
      <w:pPr>
        <w:pStyle w:val="Heading1"/>
        <w:rPr>
          <w:rFonts w:eastAsia="Times New Roman"/>
        </w:rPr>
      </w:pPr>
      <w:bookmarkStart w:id="11" w:name="_Toc96973628"/>
      <w:bookmarkStart w:id="12" w:name="_Toc76551221"/>
      <w:bookmarkStart w:id="13" w:name="_Toc105665201"/>
      <w:r>
        <w:rPr>
          <w:rFonts w:eastAsia="Times New Roman"/>
        </w:rPr>
        <w:lastRenderedPageBreak/>
        <w:t>Appendix D:  Excerpt from Public Trust Board Minutes 4</w:t>
      </w:r>
      <w:r>
        <w:rPr>
          <w:rFonts w:eastAsia="Times New Roman"/>
          <w:vertAlign w:val="superscript"/>
        </w:rPr>
        <w:t>th</w:t>
      </w:r>
      <w:r>
        <w:rPr>
          <w:rFonts w:eastAsia="Times New Roman"/>
        </w:rPr>
        <w:t xml:space="preserve"> August 2020</w:t>
      </w:r>
      <w:bookmarkEnd w:id="11"/>
      <w:bookmarkEnd w:id="12"/>
      <w:bookmarkEnd w:id="13"/>
    </w:p>
    <w:p w:rsidR="00CC17EF" w:rsidRDefault="00CC17EF" w:rsidP="00CC17EF">
      <w:pPr>
        <w:autoSpaceDE w:val="0"/>
        <w:autoSpaceDN w:val="0"/>
        <w:adjustRightInd w:val="0"/>
        <w:rPr>
          <w:rFonts w:ascii="Arial-BoldMT" w:eastAsia="Calibri" w:hAnsi="Arial-BoldMT" w:cs="Arial-BoldMT"/>
          <w:b/>
          <w:bCs/>
          <w:sz w:val="22"/>
        </w:rPr>
      </w:pPr>
    </w:p>
    <w:p w:rsidR="00CC17EF" w:rsidRDefault="00CC17EF" w:rsidP="00CC17EF">
      <w:pPr>
        <w:autoSpaceDE w:val="0"/>
        <w:autoSpaceDN w:val="0"/>
        <w:adjustRightInd w:val="0"/>
        <w:jc w:val="both"/>
        <w:rPr>
          <w:rFonts w:ascii="Arial-BoldMT" w:eastAsia="Calibri" w:hAnsi="Arial-BoldMT" w:cs="Arial-BoldMT"/>
          <w:bCs/>
          <w:sz w:val="22"/>
        </w:rPr>
      </w:pPr>
      <w:r>
        <w:rPr>
          <w:rFonts w:ascii="Arial-BoldMT" w:eastAsia="Calibri" w:hAnsi="Arial-BoldMT" w:cs="Arial-BoldMT"/>
          <w:bCs/>
          <w:sz w:val="22"/>
        </w:rPr>
        <w:t>The following is an excerpt from the minutes of the ULHT Public Trust Board Meeting where the Pilgrim A&amp;E business case was discussed.  These meetings are available from the ULHT website.  The case had previously been approved by ULHT Trust Board in private session.</w:t>
      </w:r>
    </w:p>
    <w:p w:rsidR="00CC17EF" w:rsidRDefault="00CC17EF" w:rsidP="00CC17EF">
      <w:pPr>
        <w:autoSpaceDE w:val="0"/>
        <w:autoSpaceDN w:val="0"/>
        <w:adjustRightInd w:val="0"/>
        <w:rPr>
          <w:rFonts w:ascii="Arial-BoldMT" w:eastAsia="Calibri" w:hAnsi="Arial-BoldMT" w:cs="Arial-BoldMT"/>
          <w:b/>
          <w:bCs/>
          <w:sz w:val="22"/>
        </w:rPr>
      </w:pPr>
    </w:p>
    <w:p w:rsidR="00CC17EF" w:rsidRDefault="00CC17EF" w:rsidP="00CC17EF">
      <w:pPr>
        <w:autoSpaceDE w:val="0"/>
        <w:autoSpaceDN w:val="0"/>
        <w:adjustRightInd w:val="0"/>
        <w:rPr>
          <w:rFonts w:ascii="Arial-BoldMT" w:eastAsia="Calibri" w:hAnsi="Arial-BoldMT" w:cs="Arial-BoldMT"/>
          <w:b/>
          <w:bCs/>
          <w:sz w:val="22"/>
        </w:rPr>
      </w:pPr>
      <w:r>
        <w:rPr>
          <w:rFonts w:ascii="Arial-BoldMT" w:eastAsia="Calibri" w:hAnsi="Arial-BoldMT" w:cs="Arial-BoldMT"/>
          <w:b/>
          <w:bCs/>
          <w:sz w:val="22"/>
        </w:rPr>
        <w:t>Item 10.2 Business Case Pilgrim A&amp;E</w:t>
      </w:r>
    </w:p>
    <w:p w:rsidR="00CC17EF" w:rsidRDefault="00CC17EF" w:rsidP="00CC17EF">
      <w:pPr>
        <w:autoSpaceDE w:val="0"/>
        <w:autoSpaceDN w:val="0"/>
        <w:adjustRightInd w:val="0"/>
        <w:rPr>
          <w:rFonts w:ascii="Arial-BoldMT" w:eastAsia="Calibri" w:hAnsi="Arial-BoldMT" w:cs="Arial-BoldMT"/>
          <w:b/>
          <w:bCs/>
          <w:sz w:val="22"/>
        </w:rPr>
      </w:pPr>
    </w:p>
    <w:p w:rsidR="00CC17EF" w:rsidRDefault="00CC17EF" w:rsidP="00CC17EF">
      <w:pPr>
        <w:autoSpaceDE w:val="0"/>
        <w:autoSpaceDN w:val="0"/>
        <w:adjustRightInd w:val="0"/>
        <w:jc w:val="both"/>
        <w:rPr>
          <w:rFonts w:ascii="ArialMT" w:eastAsia="Calibri" w:hAnsi="ArialMT" w:cs="ArialMT"/>
          <w:sz w:val="22"/>
        </w:rPr>
      </w:pPr>
      <w:r>
        <w:rPr>
          <w:rFonts w:ascii="ArialMT" w:eastAsia="Calibri" w:hAnsi="ArialMT" w:cs="ArialMT"/>
          <w:sz w:val="22"/>
        </w:rPr>
        <w:t xml:space="preserve">The Director of Improvement and Integration presented the business case to the Board seeking approval to submit the outline business case to </w:t>
      </w:r>
      <w:proofErr w:type="gramStart"/>
      <w:r>
        <w:rPr>
          <w:rFonts w:ascii="ArialMT" w:eastAsia="Calibri" w:hAnsi="ArialMT" w:cs="ArialMT"/>
          <w:sz w:val="22"/>
        </w:rPr>
        <w:t>NHSE&amp;I</w:t>
      </w:r>
      <w:proofErr w:type="gramEnd"/>
      <w:r>
        <w:rPr>
          <w:rFonts w:ascii="ArialMT" w:eastAsia="Calibri" w:hAnsi="ArialMT" w:cs="ArialMT"/>
          <w:sz w:val="22"/>
        </w:rPr>
        <w:t xml:space="preserve"> for capital of £36.3m on Pilgrim hospital site.</w:t>
      </w:r>
    </w:p>
    <w:p w:rsidR="00CC17EF" w:rsidRDefault="00CC17EF" w:rsidP="00CC17EF">
      <w:pPr>
        <w:autoSpaceDE w:val="0"/>
        <w:autoSpaceDN w:val="0"/>
        <w:adjustRightInd w:val="0"/>
        <w:jc w:val="both"/>
        <w:rPr>
          <w:rFonts w:ascii="ArialMT" w:eastAsia="Calibri" w:hAnsi="ArialMT" w:cs="ArialMT"/>
          <w:sz w:val="22"/>
        </w:rPr>
      </w:pPr>
    </w:p>
    <w:p w:rsidR="00CC17EF" w:rsidRDefault="00CC17EF" w:rsidP="00CC17EF">
      <w:pPr>
        <w:autoSpaceDE w:val="0"/>
        <w:autoSpaceDN w:val="0"/>
        <w:adjustRightInd w:val="0"/>
        <w:jc w:val="both"/>
        <w:rPr>
          <w:rFonts w:ascii="ArialMT" w:eastAsia="Calibri" w:hAnsi="ArialMT" w:cs="ArialMT"/>
          <w:sz w:val="22"/>
        </w:rPr>
      </w:pPr>
      <w:r>
        <w:rPr>
          <w:rFonts w:ascii="ArialMT" w:eastAsia="Calibri" w:hAnsi="ArialMT" w:cs="ArialMT"/>
          <w:sz w:val="22"/>
        </w:rPr>
        <w:t xml:space="preserve">It was noted that there would be a revenue costs to the Trust but that this would bring about improvement to the Urgent Treatment Centre, expand </w:t>
      </w:r>
      <w:proofErr w:type="spellStart"/>
      <w:r>
        <w:rPr>
          <w:rFonts w:ascii="ArialMT" w:eastAsia="Calibri" w:hAnsi="ArialMT" w:cs="ArialMT"/>
          <w:sz w:val="22"/>
        </w:rPr>
        <w:t>resus</w:t>
      </w:r>
      <w:proofErr w:type="spellEnd"/>
      <w:r>
        <w:rPr>
          <w:rFonts w:ascii="ArialMT" w:eastAsia="Calibri" w:hAnsi="ArialMT" w:cs="ArialMT"/>
          <w:sz w:val="22"/>
        </w:rPr>
        <w:t xml:space="preserve">, reconfigure the </w:t>
      </w:r>
      <w:proofErr w:type="gramStart"/>
      <w:r>
        <w:rPr>
          <w:rFonts w:ascii="ArialMT" w:eastAsia="Calibri" w:hAnsi="ArialMT" w:cs="ArialMT"/>
          <w:sz w:val="22"/>
        </w:rPr>
        <w:t>majors</w:t>
      </w:r>
      <w:proofErr w:type="gramEnd"/>
      <w:r>
        <w:rPr>
          <w:rFonts w:ascii="ArialMT" w:eastAsia="Calibri" w:hAnsi="ArialMT" w:cs="ArialMT"/>
          <w:sz w:val="22"/>
        </w:rPr>
        <w:t xml:space="preserve"> area in the ED and improve the diagnostic services on site.</w:t>
      </w:r>
    </w:p>
    <w:p w:rsidR="00CC17EF" w:rsidRDefault="00CC17EF" w:rsidP="00CC17EF">
      <w:pPr>
        <w:autoSpaceDE w:val="0"/>
        <w:autoSpaceDN w:val="0"/>
        <w:adjustRightInd w:val="0"/>
        <w:jc w:val="both"/>
        <w:rPr>
          <w:rFonts w:ascii="ArialMT" w:eastAsia="Calibri" w:hAnsi="ArialMT" w:cs="ArialMT"/>
          <w:sz w:val="22"/>
        </w:rPr>
      </w:pPr>
    </w:p>
    <w:p w:rsidR="00CC17EF" w:rsidRDefault="00CC17EF" w:rsidP="00CC17EF">
      <w:pPr>
        <w:autoSpaceDE w:val="0"/>
        <w:autoSpaceDN w:val="0"/>
        <w:adjustRightInd w:val="0"/>
        <w:jc w:val="both"/>
        <w:rPr>
          <w:rFonts w:ascii="ArialMT" w:eastAsia="Calibri" w:hAnsi="ArialMT" w:cs="ArialMT"/>
          <w:sz w:val="22"/>
        </w:rPr>
      </w:pPr>
      <w:r>
        <w:rPr>
          <w:rFonts w:ascii="ArialMT" w:eastAsia="Calibri" w:hAnsi="ArialMT" w:cs="ArialMT"/>
          <w:sz w:val="22"/>
        </w:rPr>
        <w:t>The money allocated from the Prime Minister’s visit had seen the Trust awarded with £21.3m of funding to improve facilitates at Pilgrim. The case of need at Pilgrim was clear due to the poor infrastructure and the ED being too small for the level of demand.</w:t>
      </w:r>
    </w:p>
    <w:p w:rsidR="00CC17EF" w:rsidRDefault="00CC17EF" w:rsidP="00CC17EF">
      <w:pPr>
        <w:autoSpaceDE w:val="0"/>
        <w:autoSpaceDN w:val="0"/>
        <w:adjustRightInd w:val="0"/>
        <w:jc w:val="both"/>
        <w:rPr>
          <w:rFonts w:ascii="ArialMT" w:eastAsia="Calibri" w:hAnsi="ArialMT" w:cs="ArialMT"/>
          <w:sz w:val="22"/>
        </w:rPr>
      </w:pPr>
    </w:p>
    <w:p w:rsidR="00CC17EF" w:rsidRDefault="00CC17EF" w:rsidP="00CC17EF">
      <w:pPr>
        <w:autoSpaceDE w:val="0"/>
        <w:autoSpaceDN w:val="0"/>
        <w:adjustRightInd w:val="0"/>
        <w:jc w:val="both"/>
        <w:rPr>
          <w:rFonts w:ascii="ArialMT" w:eastAsia="Calibri" w:hAnsi="ArialMT" w:cs="ArialMT"/>
          <w:sz w:val="22"/>
        </w:rPr>
      </w:pPr>
      <w:r>
        <w:rPr>
          <w:rFonts w:ascii="ArialMT" w:eastAsia="Calibri" w:hAnsi="ArialMT" w:cs="ArialMT"/>
          <w:sz w:val="22"/>
        </w:rPr>
        <w:t>The Trust recognised that there were ongoing issues regarding poor patient experience and this had been picked up through CQC reports and the outstanding section 31 notices. The Trust received positive feedback relating to the caring nature of staff but it was recognised that the experience of patients identified overcrowding as an issue.</w:t>
      </w:r>
    </w:p>
    <w:p w:rsidR="00CC17EF" w:rsidRDefault="00CC17EF" w:rsidP="00CC17EF">
      <w:pPr>
        <w:autoSpaceDE w:val="0"/>
        <w:autoSpaceDN w:val="0"/>
        <w:adjustRightInd w:val="0"/>
        <w:jc w:val="both"/>
        <w:rPr>
          <w:rFonts w:ascii="ArialMT" w:eastAsia="Calibri" w:hAnsi="ArialMT" w:cs="ArialMT"/>
          <w:sz w:val="22"/>
        </w:rPr>
      </w:pPr>
    </w:p>
    <w:p w:rsidR="00CC17EF" w:rsidRDefault="00CC17EF" w:rsidP="00CC17EF">
      <w:pPr>
        <w:autoSpaceDE w:val="0"/>
        <w:autoSpaceDN w:val="0"/>
        <w:adjustRightInd w:val="0"/>
        <w:jc w:val="both"/>
        <w:rPr>
          <w:rFonts w:ascii="ArialMT" w:eastAsia="Calibri" w:hAnsi="ArialMT" w:cs="ArialMT"/>
          <w:sz w:val="22"/>
        </w:rPr>
      </w:pPr>
      <w:r>
        <w:rPr>
          <w:rFonts w:ascii="ArialMT" w:eastAsia="Calibri" w:hAnsi="ArialMT" w:cs="ArialMT"/>
          <w:sz w:val="22"/>
        </w:rPr>
        <w:t>Since the announcement of the funding work had been undertaken as part of a Lincolnshire Project Team, inclusive of patient representatives, to develop the outline business case. The Board were asked to note that £21.3m funding had been allocated but that the business case now requested £36.3m.</w:t>
      </w:r>
    </w:p>
    <w:p w:rsidR="00CC17EF" w:rsidRDefault="00CC17EF" w:rsidP="00CC17EF">
      <w:pPr>
        <w:autoSpaceDE w:val="0"/>
        <w:autoSpaceDN w:val="0"/>
        <w:adjustRightInd w:val="0"/>
        <w:jc w:val="both"/>
        <w:rPr>
          <w:rFonts w:ascii="ArialMT" w:eastAsia="Calibri" w:hAnsi="ArialMT" w:cs="ArialMT"/>
          <w:sz w:val="22"/>
        </w:rPr>
      </w:pPr>
    </w:p>
    <w:p w:rsidR="00CC17EF" w:rsidRDefault="00CC17EF" w:rsidP="00CC17EF">
      <w:pPr>
        <w:autoSpaceDE w:val="0"/>
        <w:autoSpaceDN w:val="0"/>
        <w:adjustRightInd w:val="0"/>
        <w:jc w:val="both"/>
        <w:rPr>
          <w:rFonts w:ascii="ArialMT" w:eastAsia="Calibri" w:hAnsi="ArialMT" w:cs="ArialMT"/>
          <w:sz w:val="22"/>
        </w:rPr>
      </w:pPr>
      <w:r>
        <w:rPr>
          <w:rFonts w:ascii="ArialMT" w:eastAsia="Calibri" w:hAnsi="ArialMT" w:cs="ArialMT"/>
          <w:sz w:val="22"/>
        </w:rPr>
        <w:t xml:space="preserve">The original amount had been determined by the combining of two separate cases put forward by the Trust at a national level when the allocation was made. The increase had been due to the length of time since the original cases were developed where costs had increased. A high level of contingency had been included due to the length of the build and the uncertainty of the impact of </w:t>
      </w:r>
      <w:proofErr w:type="spellStart"/>
      <w:r>
        <w:rPr>
          <w:rFonts w:ascii="ArialMT" w:eastAsia="Calibri" w:hAnsi="ArialMT" w:cs="ArialMT"/>
          <w:sz w:val="22"/>
        </w:rPr>
        <w:t>Brexit</w:t>
      </w:r>
      <w:proofErr w:type="spellEnd"/>
      <w:r>
        <w:rPr>
          <w:rFonts w:ascii="ArialMT" w:eastAsia="Calibri" w:hAnsi="ArialMT" w:cs="ArialMT"/>
          <w:sz w:val="22"/>
        </w:rPr>
        <w:t xml:space="preserve"> and the pandemic affecting costs.</w:t>
      </w:r>
    </w:p>
    <w:p w:rsidR="00CC17EF" w:rsidRDefault="00CC17EF" w:rsidP="00CC17EF">
      <w:pPr>
        <w:autoSpaceDE w:val="0"/>
        <w:autoSpaceDN w:val="0"/>
        <w:adjustRightInd w:val="0"/>
        <w:jc w:val="both"/>
        <w:rPr>
          <w:rFonts w:ascii="ArialMT" w:eastAsia="Calibri" w:hAnsi="ArialMT" w:cs="ArialMT"/>
          <w:sz w:val="22"/>
        </w:rPr>
      </w:pPr>
    </w:p>
    <w:p w:rsidR="00CC17EF" w:rsidRDefault="00CC17EF" w:rsidP="00CC17EF">
      <w:pPr>
        <w:autoSpaceDE w:val="0"/>
        <w:autoSpaceDN w:val="0"/>
        <w:adjustRightInd w:val="0"/>
        <w:jc w:val="both"/>
        <w:rPr>
          <w:rFonts w:ascii="ArialMT" w:eastAsia="Calibri" w:hAnsi="ArialMT" w:cs="ArialMT"/>
          <w:sz w:val="22"/>
        </w:rPr>
      </w:pPr>
      <w:r>
        <w:rPr>
          <w:rFonts w:ascii="ArialMT" w:eastAsia="Calibri" w:hAnsi="ArialMT" w:cs="ArialMT"/>
          <w:sz w:val="22"/>
        </w:rPr>
        <w:t>The Trust had followed the Treasury green book approach which provided a clear process that would provide the best value for money. This approach did not tie in to the arbitrary capital amount but looked at identifying the requirements for the organisation in order to deliver the best strategic and economical case and experience for patients. The regional and national teams had been kept up to date regarding the costs and were aware of the change throughout the process.</w:t>
      </w:r>
    </w:p>
    <w:p w:rsidR="00CC17EF" w:rsidRDefault="00CC17EF" w:rsidP="00CC17EF">
      <w:pPr>
        <w:autoSpaceDE w:val="0"/>
        <w:autoSpaceDN w:val="0"/>
        <w:adjustRightInd w:val="0"/>
        <w:jc w:val="both"/>
        <w:rPr>
          <w:rFonts w:ascii="ArialMT" w:eastAsia="Calibri" w:hAnsi="ArialMT" w:cs="ArialMT"/>
          <w:sz w:val="22"/>
        </w:rPr>
      </w:pPr>
    </w:p>
    <w:p w:rsidR="00CC17EF" w:rsidRDefault="00CC17EF" w:rsidP="00CC17EF">
      <w:pPr>
        <w:autoSpaceDE w:val="0"/>
        <w:autoSpaceDN w:val="0"/>
        <w:adjustRightInd w:val="0"/>
        <w:jc w:val="both"/>
        <w:rPr>
          <w:rFonts w:ascii="ArialMT" w:eastAsia="Calibri" w:hAnsi="ArialMT" w:cs="ArialMT"/>
          <w:sz w:val="22"/>
        </w:rPr>
      </w:pPr>
      <w:r>
        <w:rPr>
          <w:rFonts w:ascii="ArialMT" w:eastAsia="Calibri" w:hAnsi="ArialMT" w:cs="ArialMT"/>
          <w:sz w:val="22"/>
        </w:rPr>
        <w:t>The business case described the need for the improvement, economic impact, how works might be contracted and completion of the works. The preferred option would be the demolition of an existing building due to the poor condition and high level of backlog maintenance.</w:t>
      </w:r>
    </w:p>
    <w:p w:rsidR="00CC17EF" w:rsidRDefault="00CC17EF" w:rsidP="00CC17EF">
      <w:pPr>
        <w:autoSpaceDE w:val="0"/>
        <w:autoSpaceDN w:val="0"/>
        <w:adjustRightInd w:val="0"/>
        <w:jc w:val="both"/>
        <w:rPr>
          <w:rFonts w:ascii="ArialMT" w:eastAsia="Calibri" w:hAnsi="ArialMT" w:cs="ArialMT"/>
          <w:sz w:val="22"/>
        </w:rPr>
      </w:pPr>
    </w:p>
    <w:p w:rsidR="00CC17EF" w:rsidRDefault="00CC17EF" w:rsidP="00CC17EF">
      <w:pPr>
        <w:autoSpaceDE w:val="0"/>
        <w:autoSpaceDN w:val="0"/>
        <w:adjustRightInd w:val="0"/>
        <w:jc w:val="both"/>
        <w:rPr>
          <w:rFonts w:ascii="ArialMT" w:eastAsia="Calibri" w:hAnsi="ArialMT" w:cs="ArialMT"/>
          <w:szCs w:val="24"/>
        </w:rPr>
      </w:pPr>
      <w:r>
        <w:rPr>
          <w:rFonts w:ascii="ArialMT" w:eastAsia="Calibri" w:hAnsi="ArialMT" w:cs="ArialMT"/>
          <w:sz w:val="22"/>
        </w:rPr>
        <w:t xml:space="preserve">This would result in a new majors and </w:t>
      </w:r>
      <w:proofErr w:type="spellStart"/>
      <w:r>
        <w:rPr>
          <w:rFonts w:ascii="ArialMT" w:eastAsia="Calibri" w:hAnsi="ArialMT" w:cs="ArialMT"/>
          <w:sz w:val="22"/>
        </w:rPr>
        <w:t>resus</w:t>
      </w:r>
      <w:proofErr w:type="spellEnd"/>
      <w:r>
        <w:rPr>
          <w:rFonts w:ascii="ArialMT" w:eastAsia="Calibri" w:hAnsi="ArialMT" w:cs="ArialMT"/>
          <w:sz w:val="22"/>
        </w:rPr>
        <w:t xml:space="preserve"> facility being built and the existing ED footprint being refurbished for a larger UTC. With the expansion of the </w:t>
      </w:r>
      <w:proofErr w:type="spellStart"/>
      <w:r>
        <w:rPr>
          <w:rFonts w:ascii="ArialMT" w:eastAsia="Calibri" w:hAnsi="ArialMT" w:cs="ArialMT"/>
          <w:sz w:val="22"/>
        </w:rPr>
        <w:t>resus</w:t>
      </w:r>
      <w:proofErr w:type="spellEnd"/>
      <w:r>
        <w:rPr>
          <w:rFonts w:ascii="ArialMT" w:eastAsia="Calibri" w:hAnsi="ArialMT" w:cs="ArialMT"/>
          <w:sz w:val="22"/>
        </w:rPr>
        <w:t xml:space="preserve"> bays it would be possible for a CT scanner to be located within the ED.  Space would also be available for joint working with other providers and a dedicated paediatric area and bereavement facilities.</w:t>
      </w:r>
    </w:p>
    <w:p w:rsidR="00CC17EF" w:rsidRDefault="00CC17EF" w:rsidP="00CC17EF">
      <w:pPr>
        <w:autoSpaceDE w:val="0"/>
        <w:autoSpaceDN w:val="0"/>
        <w:adjustRightInd w:val="0"/>
        <w:jc w:val="both"/>
        <w:rPr>
          <w:rFonts w:ascii="ArialMT" w:eastAsia="Calibri" w:hAnsi="ArialMT" w:cs="ArialMT"/>
          <w:szCs w:val="24"/>
        </w:rPr>
      </w:pPr>
    </w:p>
    <w:p w:rsidR="00CC17EF" w:rsidRDefault="00CC17EF" w:rsidP="00CC17EF">
      <w:pPr>
        <w:autoSpaceDE w:val="0"/>
        <w:autoSpaceDN w:val="0"/>
        <w:adjustRightInd w:val="0"/>
        <w:jc w:val="both"/>
        <w:rPr>
          <w:rFonts w:ascii="ArialMT" w:eastAsia="Calibri" w:hAnsi="ArialMT" w:cs="ArialMT"/>
          <w:sz w:val="22"/>
        </w:rPr>
      </w:pPr>
      <w:r>
        <w:rPr>
          <w:rFonts w:ascii="ArialMT" w:eastAsia="Calibri" w:hAnsi="ArialMT" w:cs="ArialMT"/>
          <w:sz w:val="22"/>
        </w:rPr>
        <w:t>The Trust would look to use national contractors and most likely source through a national framework agreement in order to achieve the build more quickly and against approved costing measures.  As the full business case was developed this would be explored further and presented back to the Board. The project intent and approach was supported by the Lincolnshire System and supported by both the regional and national teams. At this stage the additional requested capital had not been agreed and it was hoped that this would be secured through the next stage of the process.</w:t>
      </w:r>
    </w:p>
    <w:p w:rsidR="00CC17EF" w:rsidRDefault="00CC17EF" w:rsidP="00CC17EF">
      <w:pPr>
        <w:autoSpaceDE w:val="0"/>
        <w:autoSpaceDN w:val="0"/>
        <w:adjustRightInd w:val="0"/>
        <w:jc w:val="both"/>
        <w:rPr>
          <w:rFonts w:ascii="ArialMT" w:eastAsia="Calibri" w:hAnsi="ArialMT" w:cs="ArialMT"/>
          <w:sz w:val="22"/>
        </w:rPr>
      </w:pPr>
    </w:p>
    <w:p w:rsidR="00CC17EF" w:rsidRDefault="00CC17EF" w:rsidP="00CC17EF">
      <w:pPr>
        <w:autoSpaceDE w:val="0"/>
        <w:autoSpaceDN w:val="0"/>
        <w:adjustRightInd w:val="0"/>
        <w:jc w:val="both"/>
        <w:rPr>
          <w:rFonts w:ascii="ArialMT" w:eastAsia="Calibri" w:hAnsi="ArialMT" w:cs="ArialMT"/>
          <w:sz w:val="22"/>
        </w:rPr>
      </w:pPr>
      <w:r>
        <w:rPr>
          <w:rFonts w:ascii="ArialMT" w:eastAsia="Calibri" w:hAnsi="ArialMT" w:cs="ArialMT"/>
          <w:sz w:val="22"/>
        </w:rPr>
        <w:t>If the regional team declined the request for additional capital an alternative way forward had been outline in the business case. This would ensure time was not lost however the scheme would be reduced to the order of £24.3m. Elements of the development including bereavement and joint working facilities would be lost and it was felt that this did not offer the best value for money.</w:t>
      </w:r>
    </w:p>
    <w:p w:rsidR="00CC17EF" w:rsidRDefault="00CC17EF" w:rsidP="00CC17EF">
      <w:pPr>
        <w:autoSpaceDE w:val="0"/>
        <w:autoSpaceDN w:val="0"/>
        <w:adjustRightInd w:val="0"/>
        <w:jc w:val="both"/>
        <w:rPr>
          <w:rFonts w:ascii="ArialMT" w:eastAsia="Calibri" w:hAnsi="ArialMT" w:cs="ArialMT"/>
          <w:sz w:val="22"/>
        </w:rPr>
      </w:pPr>
    </w:p>
    <w:p w:rsidR="00CC17EF" w:rsidRDefault="00CC17EF" w:rsidP="00CC17EF">
      <w:pPr>
        <w:autoSpaceDE w:val="0"/>
        <w:autoSpaceDN w:val="0"/>
        <w:adjustRightInd w:val="0"/>
        <w:jc w:val="both"/>
        <w:rPr>
          <w:rFonts w:ascii="ArialMT" w:eastAsia="Calibri" w:hAnsi="ArialMT" w:cs="ArialMT"/>
          <w:sz w:val="22"/>
        </w:rPr>
      </w:pPr>
      <w:r>
        <w:rPr>
          <w:rFonts w:ascii="ArialMT" w:eastAsia="Calibri" w:hAnsi="ArialMT" w:cs="ArialMT"/>
          <w:sz w:val="22"/>
        </w:rPr>
        <w:t xml:space="preserve">The Trust Board were asked to support the business case for onward submission to the process through </w:t>
      </w:r>
      <w:proofErr w:type="gramStart"/>
      <w:r>
        <w:rPr>
          <w:rFonts w:ascii="ArialMT" w:eastAsia="Calibri" w:hAnsi="ArialMT" w:cs="ArialMT"/>
          <w:sz w:val="22"/>
        </w:rPr>
        <w:t>NHSE&amp;I</w:t>
      </w:r>
      <w:proofErr w:type="gramEnd"/>
      <w:r>
        <w:rPr>
          <w:rFonts w:ascii="ArialMT" w:eastAsia="Calibri" w:hAnsi="ArialMT" w:cs="ArialMT"/>
          <w:sz w:val="22"/>
        </w:rPr>
        <w:t xml:space="preserve"> which would take approximately 6-8 weeks. This would initiate the contracting discussion in order to develop the proposal to a full business case which would be presented back to the Board in January 2021.</w:t>
      </w:r>
    </w:p>
    <w:p w:rsidR="00CC17EF" w:rsidRDefault="00CC17EF" w:rsidP="00CC17EF">
      <w:pPr>
        <w:autoSpaceDE w:val="0"/>
        <w:autoSpaceDN w:val="0"/>
        <w:adjustRightInd w:val="0"/>
        <w:jc w:val="both"/>
        <w:rPr>
          <w:rFonts w:ascii="ArialMT" w:eastAsia="Calibri" w:hAnsi="ArialMT" w:cs="ArialMT"/>
          <w:sz w:val="22"/>
        </w:rPr>
      </w:pPr>
    </w:p>
    <w:p w:rsidR="00CC17EF" w:rsidRDefault="00CC17EF" w:rsidP="00CC17EF">
      <w:pPr>
        <w:autoSpaceDE w:val="0"/>
        <w:autoSpaceDN w:val="0"/>
        <w:adjustRightInd w:val="0"/>
        <w:jc w:val="both"/>
        <w:rPr>
          <w:rFonts w:ascii="ArialMT" w:eastAsia="Calibri" w:hAnsi="ArialMT" w:cs="ArialMT"/>
          <w:sz w:val="22"/>
        </w:rPr>
      </w:pPr>
      <w:r>
        <w:rPr>
          <w:rFonts w:ascii="ArialMT" w:eastAsia="Calibri" w:hAnsi="ArialMT" w:cs="ArialMT"/>
          <w:sz w:val="22"/>
        </w:rPr>
        <w:t>It was anticipated that the project would take between two and two and a half years meaning that the handover and opening of the building would take place in the winter of 2023.  The Chair noted the importance as a Board to try to improve the environment at Boston, particularly in relation to the ED. The Board needed to do everything it could to ensure the successful passage of the business case to NHSE&amp;I and progress as soon as timescales would allow.</w:t>
      </w:r>
    </w:p>
    <w:p w:rsidR="00CC17EF" w:rsidRDefault="00CC17EF" w:rsidP="00CC17EF">
      <w:pPr>
        <w:autoSpaceDE w:val="0"/>
        <w:autoSpaceDN w:val="0"/>
        <w:adjustRightInd w:val="0"/>
        <w:jc w:val="both"/>
        <w:rPr>
          <w:rFonts w:ascii="ArialMT" w:eastAsia="Calibri" w:hAnsi="ArialMT" w:cs="ArialMT"/>
          <w:sz w:val="22"/>
        </w:rPr>
      </w:pPr>
    </w:p>
    <w:p w:rsidR="00CC17EF" w:rsidRDefault="00CC17EF" w:rsidP="00CC17EF">
      <w:pPr>
        <w:autoSpaceDE w:val="0"/>
        <w:autoSpaceDN w:val="0"/>
        <w:adjustRightInd w:val="0"/>
        <w:jc w:val="both"/>
        <w:rPr>
          <w:rFonts w:ascii="ArialMT" w:eastAsia="Calibri" w:hAnsi="ArialMT" w:cs="ArialMT"/>
          <w:sz w:val="22"/>
        </w:rPr>
      </w:pPr>
      <w:r>
        <w:rPr>
          <w:rFonts w:ascii="ArialMT" w:eastAsia="Calibri" w:hAnsi="ArialMT" w:cs="ArialMT"/>
          <w:sz w:val="22"/>
        </w:rPr>
        <w:t>The Chief Executive strongly supported the business case however there was a need to ensure wherever possible that the timescales were truncated. Handover in November 2023 felt too far away given the much needed improvements required. Where it was possible for the Trust to influence timescales this would be done.</w:t>
      </w:r>
    </w:p>
    <w:p w:rsidR="00CC17EF" w:rsidRDefault="00CC17EF" w:rsidP="00CC17EF">
      <w:pPr>
        <w:autoSpaceDE w:val="0"/>
        <w:autoSpaceDN w:val="0"/>
        <w:adjustRightInd w:val="0"/>
        <w:jc w:val="both"/>
        <w:rPr>
          <w:rFonts w:ascii="ArialMT" w:eastAsia="Calibri" w:hAnsi="ArialMT" w:cs="ArialMT"/>
          <w:sz w:val="22"/>
        </w:rPr>
      </w:pPr>
    </w:p>
    <w:p w:rsidR="00CC17EF" w:rsidRDefault="00CC17EF" w:rsidP="00CC17EF">
      <w:pPr>
        <w:autoSpaceDE w:val="0"/>
        <w:autoSpaceDN w:val="0"/>
        <w:adjustRightInd w:val="0"/>
        <w:jc w:val="both"/>
        <w:rPr>
          <w:rFonts w:ascii="ArialMT" w:eastAsia="Calibri" w:hAnsi="ArialMT" w:cs="ArialMT"/>
          <w:sz w:val="22"/>
        </w:rPr>
      </w:pPr>
      <w:r>
        <w:rPr>
          <w:rFonts w:ascii="ArialMT" w:eastAsia="Calibri" w:hAnsi="ArialMT" w:cs="ArialMT"/>
          <w:sz w:val="22"/>
        </w:rPr>
        <w:t>The Chair noted that members of the Board supported the business case for onward submission and supported the pace of the project. The Chair noted that this had been a great technical case that had received some revision to ensure it read strongly however felt that the opening pages lack impact. This would be addressed outside of the meeting.  The business case required approval and submission to the regulators in order to progress, it was the right thing to do to consider values for money and to apply for capital to support the professionally identified needs at Pilgrim.</w:t>
      </w:r>
    </w:p>
    <w:p w:rsidR="00CC17EF" w:rsidRDefault="00CC17EF" w:rsidP="00CC17EF">
      <w:pPr>
        <w:autoSpaceDE w:val="0"/>
        <w:autoSpaceDN w:val="0"/>
        <w:adjustRightInd w:val="0"/>
        <w:jc w:val="both"/>
        <w:rPr>
          <w:rFonts w:ascii="ArialMT" w:eastAsia="Calibri" w:hAnsi="ArialMT" w:cs="ArialMT"/>
          <w:sz w:val="22"/>
        </w:rPr>
      </w:pPr>
    </w:p>
    <w:p w:rsidR="00CC17EF" w:rsidRDefault="00CC17EF" w:rsidP="00CC17EF">
      <w:pPr>
        <w:autoSpaceDE w:val="0"/>
        <w:autoSpaceDN w:val="0"/>
        <w:adjustRightInd w:val="0"/>
        <w:jc w:val="both"/>
        <w:rPr>
          <w:rFonts w:ascii="ArialMT" w:eastAsia="Calibri" w:hAnsi="ArialMT" w:cs="ArialMT"/>
          <w:sz w:val="22"/>
        </w:rPr>
      </w:pPr>
      <w:r>
        <w:rPr>
          <w:rFonts w:ascii="ArialMT" w:eastAsia="Calibri" w:hAnsi="ArialMT" w:cs="ArialMT"/>
          <w:sz w:val="22"/>
        </w:rPr>
        <w:t>The Board were aware of the paediatrics issue at Pilgrim and discussions had been held, this needed to be emphasised within the submission.</w:t>
      </w:r>
    </w:p>
    <w:p w:rsidR="00CC17EF" w:rsidRDefault="00CC17EF" w:rsidP="00CC17EF">
      <w:pPr>
        <w:autoSpaceDE w:val="0"/>
        <w:autoSpaceDN w:val="0"/>
        <w:adjustRightInd w:val="0"/>
        <w:jc w:val="both"/>
        <w:rPr>
          <w:rFonts w:ascii="ArialMT" w:eastAsia="Calibri" w:hAnsi="ArialMT" w:cs="ArialMT"/>
          <w:sz w:val="22"/>
        </w:rPr>
      </w:pPr>
    </w:p>
    <w:p w:rsidR="00CC17EF" w:rsidRDefault="00CC17EF" w:rsidP="00CC17EF">
      <w:pPr>
        <w:autoSpaceDE w:val="0"/>
        <w:autoSpaceDN w:val="0"/>
        <w:adjustRightInd w:val="0"/>
        <w:jc w:val="both"/>
        <w:rPr>
          <w:rFonts w:ascii="ArialMT" w:eastAsia="Calibri" w:hAnsi="ArialMT" w:cs="ArialMT"/>
          <w:sz w:val="22"/>
        </w:rPr>
      </w:pPr>
      <w:r>
        <w:rPr>
          <w:rFonts w:ascii="ArialMT" w:eastAsia="Calibri" w:hAnsi="ArialMT" w:cs="ArialMT"/>
          <w:sz w:val="22"/>
        </w:rPr>
        <w:t xml:space="preserve">The Board were provided with significant assurance from the report and supported the preferred way forward at a cost of £36.3m with revenue costs of £0.4m.  The Board approved the onward submission of the outline business case to </w:t>
      </w:r>
      <w:proofErr w:type="gramStart"/>
      <w:r>
        <w:rPr>
          <w:rFonts w:ascii="ArialMT" w:eastAsia="Calibri" w:hAnsi="ArialMT" w:cs="ArialMT"/>
          <w:sz w:val="22"/>
        </w:rPr>
        <w:t>NHSE&amp;I</w:t>
      </w:r>
      <w:proofErr w:type="gramEnd"/>
      <w:r>
        <w:rPr>
          <w:rFonts w:ascii="ArialMT" w:eastAsia="Calibri" w:hAnsi="ArialMT" w:cs="ArialMT"/>
          <w:sz w:val="22"/>
        </w:rPr>
        <w:t xml:space="preserve"> for review.</w:t>
      </w:r>
    </w:p>
    <w:p w:rsidR="00CC17EF" w:rsidRDefault="00CC17EF" w:rsidP="00CC17EF">
      <w:pPr>
        <w:autoSpaceDE w:val="0"/>
        <w:autoSpaceDN w:val="0"/>
        <w:adjustRightInd w:val="0"/>
        <w:rPr>
          <w:rFonts w:ascii="ArialMT" w:eastAsia="Calibri" w:hAnsi="ArialMT" w:cs="ArialMT"/>
          <w:sz w:val="22"/>
        </w:rPr>
      </w:pPr>
    </w:p>
    <w:p w:rsidR="00CC17EF" w:rsidRDefault="00CC17EF" w:rsidP="00CC17EF">
      <w:pPr>
        <w:autoSpaceDE w:val="0"/>
        <w:autoSpaceDN w:val="0"/>
        <w:adjustRightInd w:val="0"/>
        <w:rPr>
          <w:rFonts w:ascii="ArialMT" w:eastAsia="Calibri" w:hAnsi="ArialMT" w:cs="ArialMT"/>
          <w:sz w:val="22"/>
        </w:rPr>
      </w:pPr>
      <w:r>
        <w:rPr>
          <w:rFonts w:ascii="ArialMT" w:eastAsia="Calibri" w:hAnsi="ArialMT" w:cs="ArialMT"/>
          <w:sz w:val="22"/>
        </w:rPr>
        <w:t>The Trust Board:</w:t>
      </w:r>
    </w:p>
    <w:p w:rsidR="00CC17EF" w:rsidRDefault="00CC17EF" w:rsidP="00CC17EF">
      <w:pPr>
        <w:autoSpaceDE w:val="0"/>
        <w:autoSpaceDN w:val="0"/>
        <w:adjustRightInd w:val="0"/>
        <w:rPr>
          <w:rFonts w:ascii="ArialMT" w:eastAsia="Calibri" w:hAnsi="ArialMT" w:cs="ArialMT"/>
          <w:sz w:val="22"/>
        </w:rPr>
      </w:pPr>
    </w:p>
    <w:p w:rsidR="00CC17EF" w:rsidRDefault="00CC17EF" w:rsidP="00B8621B">
      <w:pPr>
        <w:numPr>
          <w:ilvl w:val="0"/>
          <w:numId w:val="1"/>
        </w:numPr>
        <w:autoSpaceDE w:val="0"/>
        <w:autoSpaceDN w:val="0"/>
        <w:adjustRightInd w:val="0"/>
        <w:rPr>
          <w:rFonts w:ascii="Arial-BoldMT" w:eastAsia="Calibri" w:hAnsi="Arial-BoldMT" w:cs="Arial-BoldMT"/>
          <w:b/>
          <w:bCs/>
          <w:sz w:val="22"/>
        </w:rPr>
      </w:pPr>
      <w:r>
        <w:rPr>
          <w:rFonts w:ascii="Arial-BoldMT" w:eastAsia="Calibri" w:hAnsi="Arial-BoldMT" w:cs="Arial-BoldMT"/>
          <w:b/>
          <w:bCs/>
          <w:sz w:val="22"/>
        </w:rPr>
        <w:t>Received the report;</w:t>
      </w:r>
    </w:p>
    <w:p w:rsidR="00CC17EF" w:rsidRDefault="00CC17EF" w:rsidP="00B8621B">
      <w:pPr>
        <w:numPr>
          <w:ilvl w:val="0"/>
          <w:numId w:val="1"/>
        </w:numPr>
        <w:autoSpaceDE w:val="0"/>
        <w:autoSpaceDN w:val="0"/>
        <w:adjustRightInd w:val="0"/>
        <w:rPr>
          <w:rFonts w:ascii="Arial-BoldMT" w:eastAsia="Calibri" w:hAnsi="Arial-BoldMT" w:cs="Arial-BoldMT"/>
          <w:b/>
          <w:bCs/>
          <w:sz w:val="22"/>
        </w:rPr>
      </w:pPr>
      <w:r>
        <w:rPr>
          <w:rFonts w:ascii="Arial-BoldMT" w:eastAsia="Calibri" w:hAnsi="Arial-BoldMT" w:cs="Arial-BoldMT"/>
          <w:b/>
          <w:bCs/>
          <w:sz w:val="22"/>
        </w:rPr>
        <w:t>Supported the preferred way forward;</w:t>
      </w:r>
    </w:p>
    <w:p w:rsidR="00CC17EF" w:rsidRDefault="00CC17EF" w:rsidP="00B8621B">
      <w:pPr>
        <w:numPr>
          <w:ilvl w:val="0"/>
          <w:numId w:val="1"/>
        </w:numPr>
        <w:rPr>
          <w:rFonts w:eastAsia="Calibri" w:cs="Times New Roman"/>
        </w:rPr>
      </w:pPr>
      <w:r>
        <w:rPr>
          <w:rFonts w:ascii="Arial-BoldMT" w:eastAsia="Calibri" w:hAnsi="Arial-BoldMT" w:cs="Arial-BoldMT"/>
          <w:b/>
          <w:bCs/>
          <w:sz w:val="22"/>
        </w:rPr>
        <w:t>Approved the submission of the business case to NHSE&amp;I</w:t>
      </w:r>
    </w:p>
    <w:p w:rsidR="00CC17EF" w:rsidRDefault="00CC17EF" w:rsidP="00CC17EF">
      <w:pPr>
        <w:rPr>
          <w:rFonts w:eastAsia="Times New Roman" w:cs="Times New Roman"/>
          <w:szCs w:val="24"/>
          <w:lang w:eastAsia="en-GB"/>
        </w:rPr>
      </w:pPr>
      <w:r>
        <w:rPr>
          <w:rFonts w:eastAsia="Times New Roman" w:cs="Times New Roman"/>
          <w:szCs w:val="24"/>
          <w:lang w:eastAsia="en-GB"/>
        </w:rPr>
        <w:br w:type="page"/>
      </w:r>
    </w:p>
    <w:p w:rsidR="001A6445" w:rsidRDefault="001A6445" w:rsidP="001A6445">
      <w:pPr>
        <w:pStyle w:val="Heading1"/>
        <w:rPr>
          <w:rFonts w:eastAsia="Times New Roman"/>
          <w:lang w:eastAsia="en-GB"/>
        </w:rPr>
      </w:pPr>
      <w:bookmarkStart w:id="14" w:name="_Toc96973629"/>
      <w:bookmarkStart w:id="15" w:name="_Toc76551222"/>
      <w:bookmarkStart w:id="16" w:name="_Toc105665202"/>
      <w:r>
        <w:rPr>
          <w:rFonts w:eastAsia="Times New Roman"/>
          <w:lang w:eastAsia="en-GB"/>
        </w:rPr>
        <w:lastRenderedPageBreak/>
        <w:t>Appendix E:  Addendum to the OBC following Discussions with Regional NHSE&amp;I Teams</w:t>
      </w:r>
      <w:bookmarkEnd w:id="14"/>
      <w:bookmarkEnd w:id="15"/>
      <w:bookmarkEnd w:id="16"/>
    </w:p>
    <w:p w:rsidR="001A6445" w:rsidRDefault="001A6445" w:rsidP="001A6445">
      <w:pPr>
        <w:rPr>
          <w:rFonts w:eastAsia="Times New Roman" w:cs="Times New Roman"/>
          <w:szCs w:val="24"/>
          <w:lang w:eastAsia="en-GB"/>
        </w:rPr>
      </w:pPr>
    </w:p>
    <w:p w:rsidR="001A6445" w:rsidRDefault="001A6445" w:rsidP="001A6445">
      <w:pPr>
        <w:rPr>
          <w:rFonts w:eastAsia="Times New Roman" w:cs="Times New Roman"/>
          <w:sz w:val="22"/>
          <w:lang w:eastAsia="en-GB"/>
        </w:rPr>
      </w:pPr>
      <w:r>
        <w:rPr>
          <w:rFonts w:eastAsia="Times New Roman" w:cs="Times New Roman"/>
          <w:sz w:val="22"/>
          <w:lang w:eastAsia="en-GB"/>
        </w:rPr>
        <w:t>Following a discussion with the regional NHSE&amp;I team on 19</w:t>
      </w:r>
      <w:r>
        <w:rPr>
          <w:rFonts w:eastAsia="Times New Roman" w:cs="Times New Roman"/>
          <w:sz w:val="22"/>
          <w:vertAlign w:val="superscript"/>
          <w:lang w:eastAsia="en-GB"/>
        </w:rPr>
        <w:t>th</w:t>
      </w:r>
      <w:r>
        <w:rPr>
          <w:rFonts w:eastAsia="Times New Roman" w:cs="Times New Roman"/>
          <w:sz w:val="22"/>
          <w:lang w:eastAsia="en-GB"/>
        </w:rPr>
        <w:t xml:space="preserve"> October the Trust was asked to review the options to look at how the design could be amended to bring costs down.  The trust looked at the existing option, an option the clinicians preferred to create more accommodation for offices (PWF+) and two do less options.  The full addendum paper is given here, however, the preferred way forwards within this OBC still made the most economic sense following a full financial evaluation.</w:t>
      </w:r>
    </w:p>
    <w:p w:rsidR="00CC17EF" w:rsidRDefault="00CC17EF" w:rsidP="00CC17EF">
      <w:pPr>
        <w:rPr>
          <w:lang w:eastAsia="en-GB"/>
        </w:rPr>
      </w:pPr>
    </w:p>
    <w:p w:rsidR="001A6445" w:rsidRDefault="001A6445" w:rsidP="002F6011">
      <w:r>
        <w:t>Rationale</w:t>
      </w:r>
    </w:p>
    <w:p w:rsidR="001A6445" w:rsidRDefault="001A6445" w:rsidP="001A6445">
      <w:pPr>
        <w:rPr>
          <w:sz w:val="20"/>
          <w:szCs w:val="20"/>
        </w:rPr>
      </w:pPr>
    </w:p>
    <w:p w:rsidR="001A6445" w:rsidRDefault="001A6445" w:rsidP="001A6445">
      <w:pPr>
        <w:rPr>
          <w:sz w:val="20"/>
          <w:szCs w:val="20"/>
        </w:rPr>
      </w:pPr>
      <w:r>
        <w:rPr>
          <w:sz w:val="20"/>
          <w:szCs w:val="20"/>
        </w:rPr>
        <w:t>The Outline Business Case to expand the Emergency Department at Pilgrim Hospital, Boston was submitted to the regional NHSE/I team on 19</w:t>
      </w:r>
      <w:r>
        <w:rPr>
          <w:sz w:val="20"/>
          <w:szCs w:val="20"/>
          <w:vertAlign w:val="superscript"/>
        </w:rPr>
        <w:t>th</w:t>
      </w:r>
      <w:r>
        <w:rPr>
          <w:sz w:val="20"/>
          <w:szCs w:val="20"/>
        </w:rPr>
        <w:t xml:space="preserve"> October 2020.</w:t>
      </w:r>
    </w:p>
    <w:p w:rsidR="001A6445" w:rsidRDefault="001A6445" w:rsidP="001A6445">
      <w:pPr>
        <w:rPr>
          <w:sz w:val="20"/>
          <w:szCs w:val="20"/>
        </w:rPr>
      </w:pPr>
    </w:p>
    <w:p w:rsidR="001A6445" w:rsidRDefault="001A6445" w:rsidP="001A6445">
      <w:pPr>
        <w:rPr>
          <w:sz w:val="20"/>
          <w:szCs w:val="20"/>
        </w:rPr>
      </w:pPr>
      <w:r>
        <w:rPr>
          <w:sz w:val="20"/>
          <w:szCs w:val="20"/>
        </w:rPr>
        <w:t xml:space="preserve">In August 2019 21.3M was allocated for the project based on two independent schemes to expand </w:t>
      </w:r>
      <w:proofErr w:type="spellStart"/>
      <w:r>
        <w:rPr>
          <w:sz w:val="20"/>
          <w:szCs w:val="20"/>
        </w:rPr>
        <w:t>resus</w:t>
      </w:r>
      <w:proofErr w:type="spellEnd"/>
      <w:r>
        <w:rPr>
          <w:sz w:val="20"/>
          <w:szCs w:val="20"/>
        </w:rPr>
        <w:t xml:space="preserve"> and to build a new UTC.  This STP bid had been developed some years earlier and was at best a PID / SOC pre-estimate.  It presented an absolute do minimum in terms of the need to transform urgent care at Pilgrim Hospital.</w:t>
      </w:r>
    </w:p>
    <w:p w:rsidR="001A6445" w:rsidRDefault="001A6445" w:rsidP="001A6445">
      <w:pPr>
        <w:rPr>
          <w:sz w:val="20"/>
          <w:szCs w:val="20"/>
        </w:rPr>
      </w:pPr>
    </w:p>
    <w:p w:rsidR="001A6445" w:rsidRDefault="001A6445" w:rsidP="001A6445">
      <w:pPr>
        <w:rPr>
          <w:sz w:val="20"/>
          <w:szCs w:val="20"/>
        </w:rPr>
      </w:pPr>
      <w:r>
        <w:rPr>
          <w:sz w:val="20"/>
          <w:szCs w:val="20"/>
        </w:rPr>
        <w:t>The OBC requested funding to develop the whole ED, coming to 36.3M. At a meeting on 17</w:t>
      </w:r>
      <w:r>
        <w:rPr>
          <w:sz w:val="20"/>
          <w:szCs w:val="20"/>
          <w:vertAlign w:val="superscript"/>
        </w:rPr>
        <w:t>th</w:t>
      </w:r>
      <w:r>
        <w:rPr>
          <w:sz w:val="20"/>
          <w:szCs w:val="20"/>
        </w:rPr>
        <w:t xml:space="preserve"> December the regional NHSE/I finance team requested the trust look again at how this could be brought back to the 21.3M.  </w:t>
      </w:r>
    </w:p>
    <w:p w:rsidR="001A6445" w:rsidRDefault="001A6445" w:rsidP="001A6445"/>
    <w:p w:rsidR="001A6445" w:rsidRDefault="001A6445" w:rsidP="002F6011">
      <w:r>
        <w:t>Developing the OBC</w:t>
      </w:r>
    </w:p>
    <w:p w:rsidR="001A6445" w:rsidRDefault="001A6445" w:rsidP="001A6445"/>
    <w:p w:rsidR="001A6445" w:rsidRDefault="001A6445" w:rsidP="001A6445">
      <w:pPr>
        <w:rPr>
          <w:sz w:val="20"/>
          <w:szCs w:val="20"/>
        </w:rPr>
      </w:pPr>
      <w:r>
        <w:rPr>
          <w:sz w:val="20"/>
          <w:szCs w:val="20"/>
        </w:rPr>
        <w:t xml:space="preserve">After the trust received news of the initial 21.3M funding an OBC was developed through workshops with the clinical teams, estates, </w:t>
      </w:r>
      <w:proofErr w:type="gramStart"/>
      <w:r>
        <w:rPr>
          <w:sz w:val="20"/>
          <w:szCs w:val="20"/>
        </w:rPr>
        <w:t>finance</w:t>
      </w:r>
      <w:proofErr w:type="gramEnd"/>
      <w:r>
        <w:rPr>
          <w:sz w:val="20"/>
          <w:szCs w:val="20"/>
        </w:rPr>
        <w:t xml:space="preserve"> and patient representatives.  Representatives from ULHT, LCHS, LPFT, CCG, patient groups and regional NHSE estates teams were involved. </w:t>
      </w:r>
    </w:p>
    <w:p w:rsidR="001A6445" w:rsidRDefault="001A6445" w:rsidP="001A6445">
      <w:pPr>
        <w:rPr>
          <w:sz w:val="20"/>
          <w:szCs w:val="20"/>
        </w:rPr>
      </w:pPr>
    </w:p>
    <w:p w:rsidR="001A6445" w:rsidRDefault="001A6445" w:rsidP="001A6445">
      <w:pPr>
        <w:rPr>
          <w:sz w:val="20"/>
          <w:szCs w:val="20"/>
        </w:rPr>
      </w:pPr>
      <w:r>
        <w:rPr>
          <w:sz w:val="20"/>
          <w:szCs w:val="20"/>
        </w:rPr>
        <w:t xml:space="preserve">The working group established a clear principle from the outset – there needed to be a complete redesign of the whole ED rather than independent extensions outwards for </w:t>
      </w:r>
      <w:proofErr w:type="spellStart"/>
      <w:r>
        <w:rPr>
          <w:sz w:val="20"/>
          <w:szCs w:val="20"/>
        </w:rPr>
        <w:t>resus</w:t>
      </w:r>
      <w:proofErr w:type="spellEnd"/>
      <w:r>
        <w:rPr>
          <w:sz w:val="20"/>
          <w:szCs w:val="20"/>
        </w:rPr>
        <w:t xml:space="preserve"> and UTC as only doing this would:</w:t>
      </w:r>
    </w:p>
    <w:p w:rsidR="001A6445" w:rsidRDefault="001A6445" w:rsidP="001A6445">
      <w:pPr>
        <w:rPr>
          <w:sz w:val="20"/>
          <w:szCs w:val="20"/>
        </w:rPr>
      </w:pPr>
    </w:p>
    <w:p w:rsidR="001A6445" w:rsidRDefault="001A6445" w:rsidP="00B8621B">
      <w:pPr>
        <w:numPr>
          <w:ilvl w:val="0"/>
          <w:numId w:val="2"/>
        </w:numPr>
        <w:rPr>
          <w:sz w:val="20"/>
          <w:szCs w:val="20"/>
        </w:rPr>
      </w:pPr>
      <w:r>
        <w:rPr>
          <w:sz w:val="20"/>
          <w:szCs w:val="20"/>
        </w:rPr>
        <w:t>leave Majors, Minors and other areas still in poor condition;</w:t>
      </w:r>
    </w:p>
    <w:p w:rsidR="001A6445" w:rsidRDefault="001A6445" w:rsidP="00B8621B">
      <w:pPr>
        <w:numPr>
          <w:ilvl w:val="0"/>
          <w:numId w:val="2"/>
        </w:numPr>
        <w:rPr>
          <w:sz w:val="20"/>
          <w:szCs w:val="20"/>
        </w:rPr>
      </w:pPr>
      <w:r>
        <w:rPr>
          <w:sz w:val="20"/>
          <w:szCs w:val="20"/>
        </w:rPr>
        <w:t>land lock the remaining department and prevent expansion in an area that was too small and had been rated inadequate by the CQC;</w:t>
      </w:r>
    </w:p>
    <w:p w:rsidR="001A6445" w:rsidRDefault="001A6445" w:rsidP="00B8621B">
      <w:pPr>
        <w:numPr>
          <w:ilvl w:val="0"/>
          <w:numId w:val="2"/>
        </w:numPr>
        <w:rPr>
          <w:sz w:val="20"/>
          <w:szCs w:val="20"/>
        </w:rPr>
      </w:pPr>
      <w:proofErr w:type="gramStart"/>
      <w:r>
        <w:rPr>
          <w:sz w:val="20"/>
          <w:szCs w:val="20"/>
        </w:rPr>
        <w:t>cost</w:t>
      </w:r>
      <w:proofErr w:type="gramEnd"/>
      <w:r>
        <w:rPr>
          <w:sz w:val="20"/>
          <w:szCs w:val="20"/>
        </w:rPr>
        <w:t xml:space="preserve"> a large amount of capital on road infrastructure.</w:t>
      </w:r>
    </w:p>
    <w:p w:rsidR="001A6445" w:rsidRDefault="001A6445" w:rsidP="001A6445">
      <w:pPr>
        <w:rPr>
          <w:sz w:val="20"/>
          <w:szCs w:val="20"/>
        </w:rPr>
      </w:pPr>
    </w:p>
    <w:p w:rsidR="001A6445" w:rsidRDefault="001A6445" w:rsidP="001A6445">
      <w:pPr>
        <w:rPr>
          <w:sz w:val="20"/>
          <w:szCs w:val="20"/>
        </w:rPr>
      </w:pPr>
      <w:r>
        <w:rPr>
          <w:sz w:val="20"/>
          <w:szCs w:val="20"/>
        </w:rPr>
        <w:t>The OBC was developed in accordance with the underlying principles of HM Treasuries Green Book; to develop clear spending objectives, benefits and risks and use these to develop the best value for money option to satisfy the spending criteria.</w:t>
      </w:r>
    </w:p>
    <w:p w:rsidR="001A6445" w:rsidRDefault="001A6445" w:rsidP="001A6445">
      <w:pPr>
        <w:rPr>
          <w:sz w:val="20"/>
          <w:szCs w:val="20"/>
        </w:rPr>
      </w:pPr>
      <w:r>
        <w:rPr>
          <w:sz w:val="20"/>
          <w:szCs w:val="20"/>
        </w:rPr>
        <w:br/>
        <w:t xml:space="preserve">An up to date cost advisor report assessed the original plan (expanding </w:t>
      </w:r>
      <w:proofErr w:type="spellStart"/>
      <w:r>
        <w:rPr>
          <w:sz w:val="20"/>
          <w:szCs w:val="20"/>
        </w:rPr>
        <w:t>resus</w:t>
      </w:r>
      <w:proofErr w:type="spellEnd"/>
      <w:r>
        <w:rPr>
          <w:sz w:val="20"/>
          <w:szCs w:val="20"/>
        </w:rPr>
        <w:t xml:space="preserve"> and building the UTC) as costing 33.2M, not 21.3M.  This was, as stated above, because:</w:t>
      </w:r>
    </w:p>
    <w:p w:rsidR="001A6445" w:rsidRDefault="001A6445" w:rsidP="001A6445">
      <w:pPr>
        <w:rPr>
          <w:sz w:val="20"/>
          <w:szCs w:val="20"/>
        </w:rPr>
      </w:pPr>
    </w:p>
    <w:p w:rsidR="001A6445" w:rsidRDefault="001A6445" w:rsidP="00B8621B">
      <w:pPr>
        <w:numPr>
          <w:ilvl w:val="0"/>
          <w:numId w:val="3"/>
        </w:numPr>
        <w:rPr>
          <w:sz w:val="20"/>
          <w:szCs w:val="20"/>
        </w:rPr>
      </w:pPr>
      <w:r>
        <w:rPr>
          <w:sz w:val="20"/>
          <w:szCs w:val="20"/>
        </w:rPr>
        <w:t>original plans were only at PID / SOC stage, had been developed independently and were not worked up in enough detail at the stage they were told to submit;</w:t>
      </w:r>
    </w:p>
    <w:p w:rsidR="001A6445" w:rsidRDefault="001A6445" w:rsidP="00B8621B">
      <w:pPr>
        <w:numPr>
          <w:ilvl w:val="0"/>
          <w:numId w:val="3"/>
        </w:numPr>
        <w:rPr>
          <w:sz w:val="20"/>
          <w:szCs w:val="20"/>
        </w:rPr>
      </w:pPr>
      <w:r>
        <w:rPr>
          <w:sz w:val="20"/>
          <w:szCs w:val="20"/>
        </w:rPr>
        <w:t>inflation was not fully taken into account;</w:t>
      </w:r>
    </w:p>
    <w:p w:rsidR="001A6445" w:rsidRDefault="001A6445" w:rsidP="00B8621B">
      <w:pPr>
        <w:numPr>
          <w:ilvl w:val="0"/>
          <w:numId w:val="3"/>
        </w:numPr>
        <w:rPr>
          <w:sz w:val="20"/>
          <w:szCs w:val="20"/>
        </w:rPr>
      </w:pPr>
      <w:r>
        <w:rPr>
          <w:sz w:val="20"/>
          <w:szCs w:val="20"/>
        </w:rPr>
        <w:t>a 21.725% optimism bias of £3,061,405 and inflation adjustments totalling £1,487,869 were excluded from the UTC PID for approval purposes;</w:t>
      </w:r>
    </w:p>
    <w:p w:rsidR="001A6445" w:rsidRDefault="001A6445" w:rsidP="00B8621B">
      <w:pPr>
        <w:numPr>
          <w:ilvl w:val="0"/>
          <w:numId w:val="3"/>
        </w:numPr>
        <w:rPr>
          <w:sz w:val="20"/>
          <w:szCs w:val="20"/>
        </w:rPr>
      </w:pPr>
      <w:r>
        <w:rPr>
          <w:sz w:val="20"/>
          <w:szCs w:val="20"/>
        </w:rPr>
        <w:t>VAT for either scheme was not included in the WAVE 4 STTP bid (capital without VAT was 21.3M), excluding 4.2M.</w:t>
      </w:r>
    </w:p>
    <w:p w:rsidR="001A6445" w:rsidRDefault="001A6445" w:rsidP="001A6445">
      <w:pPr>
        <w:rPr>
          <w:sz w:val="20"/>
          <w:szCs w:val="20"/>
        </w:rPr>
      </w:pPr>
    </w:p>
    <w:p w:rsidR="001A6445" w:rsidRDefault="001A6445" w:rsidP="001A6445">
      <w:pPr>
        <w:rPr>
          <w:sz w:val="20"/>
          <w:szCs w:val="20"/>
        </w:rPr>
      </w:pPr>
      <w:r>
        <w:rPr>
          <w:sz w:val="20"/>
          <w:szCs w:val="20"/>
        </w:rPr>
        <w:lastRenderedPageBreak/>
        <w:t>Therefore, ignoring the weaknesses in developing the two cases independently, the submission of £21.3M in the Wave 4 STTP bid presented by CCG should have been a minimum of £30.05M.</w:t>
      </w:r>
    </w:p>
    <w:p w:rsidR="001A6445" w:rsidRDefault="001A6445" w:rsidP="001A6445"/>
    <w:p w:rsidR="001A6445" w:rsidRDefault="001A6445" w:rsidP="001A6445">
      <w:pPr>
        <w:rPr>
          <w:sz w:val="20"/>
          <w:szCs w:val="20"/>
        </w:rPr>
      </w:pPr>
      <w:r>
        <w:rPr>
          <w:sz w:val="20"/>
          <w:szCs w:val="20"/>
        </w:rPr>
        <w:t>The project team considered many options including variations on:</w:t>
      </w:r>
    </w:p>
    <w:p w:rsidR="001A6445" w:rsidRDefault="001A6445" w:rsidP="00B8621B">
      <w:pPr>
        <w:numPr>
          <w:ilvl w:val="0"/>
          <w:numId w:val="4"/>
        </w:numPr>
        <w:rPr>
          <w:sz w:val="20"/>
          <w:szCs w:val="20"/>
        </w:rPr>
      </w:pPr>
      <w:r>
        <w:rPr>
          <w:sz w:val="20"/>
          <w:szCs w:val="20"/>
        </w:rPr>
        <w:t>The original plan – extension to two sides of the building;</w:t>
      </w:r>
    </w:p>
    <w:p w:rsidR="001A6445" w:rsidRDefault="001A6445" w:rsidP="00B8621B">
      <w:pPr>
        <w:numPr>
          <w:ilvl w:val="0"/>
          <w:numId w:val="4"/>
        </w:numPr>
        <w:rPr>
          <w:sz w:val="20"/>
          <w:szCs w:val="20"/>
        </w:rPr>
      </w:pPr>
      <w:r>
        <w:rPr>
          <w:sz w:val="20"/>
          <w:szCs w:val="20"/>
        </w:rPr>
        <w:t>Building out larger buildings across the two roads to expand the whole ED;</w:t>
      </w:r>
    </w:p>
    <w:p w:rsidR="001A6445" w:rsidRDefault="001A6445" w:rsidP="00B8621B">
      <w:pPr>
        <w:numPr>
          <w:ilvl w:val="0"/>
          <w:numId w:val="4"/>
        </w:numPr>
        <w:rPr>
          <w:sz w:val="20"/>
          <w:szCs w:val="20"/>
        </w:rPr>
      </w:pPr>
      <w:r>
        <w:rPr>
          <w:sz w:val="20"/>
          <w:szCs w:val="20"/>
        </w:rPr>
        <w:t xml:space="preserve">Refurbishing or demolishing an adjacent building.  </w:t>
      </w:r>
    </w:p>
    <w:p w:rsidR="001A6445" w:rsidRDefault="001A6445" w:rsidP="001A6445"/>
    <w:p w:rsidR="001A6445" w:rsidRDefault="001A6445" w:rsidP="001A6445">
      <w:pPr>
        <w:rPr>
          <w:sz w:val="20"/>
          <w:szCs w:val="20"/>
        </w:rPr>
      </w:pPr>
      <w:r>
        <w:rPr>
          <w:sz w:val="20"/>
          <w:szCs w:val="20"/>
        </w:rPr>
        <w:t>The most cost effective option was to look at the adjacent building, CSS or “H-Block”.  This adjacent building contains only a small number of clinical services, a large amount of administrative space and is in need of significant repair - b</w:t>
      </w:r>
      <w:r w:rsidR="008A31F3">
        <w:rPr>
          <w:sz w:val="20"/>
          <w:szCs w:val="20"/>
        </w:rPr>
        <w:t xml:space="preserve">acklog maintenance costs are £993k </w:t>
      </w:r>
      <w:proofErr w:type="spellStart"/>
      <w:proofErr w:type="gramStart"/>
      <w:r w:rsidR="008A31F3">
        <w:rPr>
          <w:sz w:val="20"/>
          <w:szCs w:val="20"/>
        </w:rPr>
        <w:t>inc</w:t>
      </w:r>
      <w:proofErr w:type="gramEnd"/>
      <w:r>
        <w:rPr>
          <w:sz w:val="20"/>
          <w:szCs w:val="20"/>
        </w:rPr>
        <w:t>.</w:t>
      </w:r>
      <w:proofErr w:type="spellEnd"/>
    </w:p>
    <w:p w:rsidR="001A6445" w:rsidRDefault="001A6445" w:rsidP="001A6445"/>
    <w:p w:rsidR="001A6445" w:rsidRDefault="001A6445" w:rsidP="001A6445">
      <w:pPr>
        <w:rPr>
          <w:sz w:val="20"/>
          <w:szCs w:val="20"/>
        </w:rPr>
      </w:pPr>
      <w:r>
        <w:rPr>
          <w:sz w:val="20"/>
          <w:szCs w:val="20"/>
        </w:rPr>
        <w:t>Demolition of the building and new build ED in its place would remove backlog maintenance, provide a fit for purpose building for all elements of the ED and improve the frontage of the hospital. The existing ED would be refurbished for the UTC.  Small extensions to the front and rear of the building would increase clinical space without the need for substantial infrastructure costs.</w:t>
      </w:r>
    </w:p>
    <w:p w:rsidR="001A6445" w:rsidRDefault="001A6445" w:rsidP="001A6445"/>
    <w:p w:rsidR="001A6445" w:rsidRDefault="001A6445" w:rsidP="001A6445">
      <w:pPr>
        <w:rPr>
          <w:sz w:val="20"/>
          <w:szCs w:val="20"/>
        </w:rPr>
      </w:pPr>
      <w:r>
        <w:rPr>
          <w:sz w:val="20"/>
          <w:szCs w:val="20"/>
        </w:rPr>
        <w:t>The group defined the core, desirable and optional elements of the scheme.  In relation to the capital spend on the building and equipment only, these were:</w:t>
      </w:r>
    </w:p>
    <w:p w:rsidR="001A6445" w:rsidRDefault="001A6445" w:rsidP="001A6445"/>
    <w:tbl>
      <w:tblPr>
        <w:tblStyle w:val="TableGrid"/>
        <w:tblW w:w="0" w:type="auto"/>
        <w:tblInd w:w="0" w:type="dxa"/>
        <w:tblLook w:val="04A0" w:firstRow="1" w:lastRow="0" w:firstColumn="1" w:lastColumn="0" w:noHBand="0" w:noVBand="1"/>
      </w:tblPr>
      <w:tblGrid>
        <w:gridCol w:w="2254"/>
        <w:gridCol w:w="2254"/>
        <w:gridCol w:w="2254"/>
        <w:gridCol w:w="2254"/>
      </w:tblGrid>
      <w:tr w:rsidR="001A6445" w:rsidTr="001A6445">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b/>
                <w:sz w:val="20"/>
                <w:szCs w:val="20"/>
              </w:rPr>
            </w:pPr>
            <w:r>
              <w:rPr>
                <w:b/>
                <w:sz w:val="20"/>
                <w:szCs w:val="20"/>
              </w:rPr>
              <w:t>Core</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b/>
                <w:sz w:val="20"/>
                <w:szCs w:val="20"/>
              </w:rPr>
            </w:pPr>
            <w:r>
              <w:rPr>
                <w:b/>
                <w:sz w:val="20"/>
                <w:szCs w:val="20"/>
              </w:rPr>
              <w:t>Desirable</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b/>
                <w:sz w:val="20"/>
                <w:szCs w:val="20"/>
              </w:rPr>
            </w:pPr>
            <w:r>
              <w:rPr>
                <w:b/>
                <w:sz w:val="20"/>
                <w:szCs w:val="20"/>
              </w:rPr>
              <w:t>Optional</w:t>
            </w:r>
          </w:p>
        </w:tc>
      </w:tr>
      <w:tr w:rsidR="001A6445" w:rsidTr="001A6445">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Potential Scope</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Minimal functionality (based on demand) to operate a modern ED</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Additional clinics, paediatric facilities and bereavement</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Additional diagnostics (pathology)</w:t>
            </w:r>
          </w:p>
        </w:tc>
      </w:tr>
      <w:tr w:rsidR="001A6445" w:rsidTr="001A6445">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Service Requirements</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 xml:space="preserve">Expansion of </w:t>
            </w:r>
            <w:proofErr w:type="spellStart"/>
            <w:r>
              <w:rPr>
                <w:sz w:val="20"/>
                <w:szCs w:val="20"/>
              </w:rPr>
              <w:t>Resus</w:t>
            </w:r>
            <w:proofErr w:type="spellEnd"/>
            <w:r>
              <w:rPr>
                <w:sz w:val="20"/>
                <w:szCs w:val="20"/>
              </w:rPr>
              <w:t xml:space="preserve"> to 6 bays (min)</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ED clinic room</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EMAS facilities</w:t>
            </w:r>
          </w:p>
        </w:tc>
      </w:tr>
      <w:tr w:rsidR="001A6445" w:rsidTr="001A6445">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UTC</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Dignity suite / changing places</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Ultrasound scan room</w:t>
            </w:r>
          </w:p>
        </w:tc>
      </w:tr>
      <w:tr w:rsidR="001A6445" w:rsidTr="001A6445">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Redesigned Majors area</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Frailty / AEC clinic rooms</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Café / concessions</w:t>
            </w:r>
          </w:p>
        </w:tc>
      </w:tr>
      <w:tr w:rsidR="001A6445" w:rsidTr="001A6445">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Paediatric clinical rooms</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Pharmacy</w:t>
            </w:r>
          </w:p>
        </w:tc>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r>
      <w:tr w:rsidR="001A6445" w:rsidTr="001A6445">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Seminar room</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Paediatric waiting area separate to main</w:t>
            </w:r>
          </w:p>
        </w:tc>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r>
      <w:tr w:rsidR="001A6445" w:rsidTr="001A6445">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Training room</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Volunteers area</w:t>
            </w:r>
          </w:p>
        </w:tc>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r>
      <w:tr w:rsidR="001A6445" w:rsidTr="001A6445">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Plaster room</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Bereavement suite</w:t>
            </w:r>
          </w:p>
        </w:tc>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r>
      <w:tr w:rsidR="001A6445" w:rsidTr="001A6445">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Administrative space</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Emergency dentistry</w:t>
            </w:r>
          </w:p>
        </w:tc>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r>
      <w:tr w:rsidR="001A6445" w:rsidTr="001A6445">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Places of Safety (s136)</w:t>
            </w:r>
          </w:p>
        </w:tc>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r>
      <w:tr w:rsidR="001A6445" w:rsidTr="001A6445">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Staff room</w:t>
            </w:r>
          </w:p>
        </w:tc>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r>
      <w:tr w:rsidR="001A6445" w:rsidTr="001A6445">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Good access / egress to wards</w:t>
            </w:r>
          </w:p>
        </w:tc>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r>
      <w:tr w:rsidR="001A6445" w:rsidTr="001A6445">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CT scanner &amp; X-ray</w:t>
            </w:r>
          </w:p>
        </w:tc>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r>
    </w:tbl>
    <w:p w:rsidR="001A6445" w:rsidRDefault="001A6445" w:rsidP="001A6445"/>
    <w:p w:rsidR="001A6445" w:rsidRDefault="001A6445" w:rsidP="001A6445">
      <w:pPr>
        <w:rPr>
          <w:sz w:val="20"/>
          <w:szCs w:val="20"/>
        </w:rPr>
      </w:pPr>
      <w:r>
        <w:rPr>
          <w:sz w:val="20"/>
          <w:szCs w:val="20"/>
        </w:rPr>
        <w:t>Analysis of the current demand plus an increase for anticipated future demand / population growth showed that the following clinical space would be required, as an absolute minimum.  Any additional rooms would future proof the service.</w:t>
      </w:r>
    </w:p>
    <w:p w:rsidR="001A6445" w:rsidRDefault="001A6445" w:rsidP="001A6445"/>
    <w:tbl>
      <w:tblPr>
        <w:tblStyle w:val="TableGrid"/>
        <w:tblW w:w="0" w:type="auto"/>
        <w:tblInd w:w="0" w:type="dxa"/>
        <w:tblLook w:val="04A0" w:firstRow="1" w:lastRow="0" w:firstColumn="1" w:lastColumn="0" w:noHBand="0" w:noVBand="1"/>
      </w:tblPr>
      <w:tblGrid>
        <w:gridCol w:w="2254"/>
        <w:gridCol w:w="2254"/>
        <w:gridCol w:w="2254"/>
        <w:gridCol w:w="2254"/>
      </w:tblGrid>
      <w:tr w:rsidR="001A6445" w:rsidTr="001A6445">
        <w:tc>
          <w:tcPr>
            <w:tcW w:w="2254" w:type="dxa"/>
            <w:tcBorders>
              <w:top w:val="single" w:sz="4" w:space="0" w:color="auto"/>
              <w:left w:val="single" w:sz="4" w:space="0" w:color="auto"/>
              <w:bottom w:val="single" w:sz="4" w:space="0" w:color="auto"/>
              <w:right w:val="single" w:sz="4" w:space="0" w:color="auto"/>
            </w:tcBorders>
          </w:tcPr>
          <w:p w:rsidR="001A6445" w:rsidRDefault="001A6445">
            <w:pPr>
              <w:rPr>
                <w:sz w:val="20"/>
                <w:szCs w:val="20"/>
              </w:rPr>
            </w:pP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b/>
                <w:sz w:val="20"/>
                <w:szCs w:val="20"/>
              </w:rPr>
            </w:pPr>
            <w:r>
              <w:rPr>
                <w:b/>
                <w:sz w:val="20"/>
                <w:szCs w:val="20"/>
              </w:rPr>
              <w:t>Current cubicles</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b/>
                <w:sz w:val="20"/>
                <w:szCs w:val="20"/>
              </w:rPr>
            </w:pPr>
            <w:r>
              <w:rPr>
                <w:b/>
                <w:sz w:val="20"/>
                <w:szCs w:val="20"/>
              </w:rPr>
              <w:t>Increase required</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b/>
                <w:sz w:val="20"/>
                <w:szCs w:val="20"/>
              </w:rPr>
            </w:pPr>
            <w:r>
              <w:rPr>
                <w:b/>
                <w:sz w:val="20"/>
                <w:szCs w:val="20"/>
              </w:rPr>
              <w:t>Total required</w:t>
            </w:r>
          </w:p>
        </w:tc>
      </w:tr>
      <w:tr w:rsidR="001A6445" w:rsidTr="001A6445">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proofErr w:type="spellStart"/>
            <w:r>
              <w:rPr>
                <w:sz w:val="20"/>
                <w:szCs w:val="20"/>
              </w:rPr>
              <w:t>Resus</w:t>
            </w:r>
            <w:proofErr w:type="spellEnd"/>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4</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4</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8</w:t>
            </w:r>
          </w:p>
        </w:tc>
      </w:tr>
      <w:tr w:rsidR="001A6445" w:rsidTr="001A6445">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Majors</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8</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8</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16</w:t>
            </w:r>
          </w:p>
        </w:tc>
      </w:tr>
      <w:tr w:rsidR="001A6445" w:rsidTr="001A6445">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Minors &amp; UTC &amp; GP</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3</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10</w:t>
            </w:r>
          </w:p>
        </w:tc>
        <w:tc>
          <w:tcPr>
            <w:tcW w:w="2254"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13</w:t>
            </w:r>
          </w:p>
        </w:tc>
      </w:tr>
    </w:tbl>
    <w:p w:rsidR="001A6445" w:rsidRDefault="001A6445" w:rsidP="001A6445"/>
    <w:p w:rsidR="001A6445" w:rsidRDefault="001A6445" w:rsidP="001A6445">
      <w:pPr>
        <w:rPr>
          <w:sz w:val="20"/>
          <w:szCs w:val="20"/>
        </w:rPr>
      </w:pPr>
      <w:r>
        <w:rPr>
          <w:sz w:val="20"/>
          <w:szCs w:val="20"/>
        </w:rPr>
        <w:t>The plan developed included many of the core and desirable options.  Architects, engineers and cost advisors drew up the required plans.  The cost of the scheme came in at 36.3M and was submitted to the regional NHSE/I team on 19</w:t>
      </w:r>
      <w:r>
        <w:rPr>
          <w:sz w:val="20"/>
          <w:szCs w:val="20"/>
          <w:vertAlign w:val="superscript"/>
        </w:rPr>
        <w:t>th</w:t>
      </w:r>
      <w:r>
        <w:rPr>
          <w:sz w:val="20"/>
          <w:szCs w:val="20"/>
        </w:rPr>
        <w:t xml:space="preserve"> October 2020.  Following discussions with the regional team on 17</w:t>
      </w:r>
      <w:r>
        <w:rPr>
          <w:sz w:val="20"/>
          <w:szCs w:val="20"/>
          <w:vertAlign w:val="superscript"/>
        </w:rPr>
        <w:t>th</w:t>
      </w:r>
      <w:r>
        <w:rPr>
          <w:sz w:val="20"/>
          <w:szCs w:val="20"/>
        </w:rPr>
        <w:t xml:space="preserve"> </w:t>
      </w:r>
      <w:r>
        <w:rPr>
          <w:sz w:val="20"/>
          <w:szCs w:val="20"/>
        </w:rPr>
        <w:lastRenderedPageBreak/>
        <w:t xml:space="preserve">December 2020 the Trust was asked to look at options to bring the cost closer to the original 21.3M whilst maximising the benefits and value for money.  </w:t>
      </w:r>
    </w:p>
    <w:p w:rsidR="001A6445" w:rsidRDefault="001A6445" w:rsidP="001A6445"/>
    <w:p w:rsidR="001A6445" w:rsidRDefault="001A6445" w:rsidP="002F6011">
      <w:r>
        <w:t>Options</w:t>
      </w:r>
    </w:p>
    <w:p w:rsidR="001A6445" w:rsidRDefault="001A6445" w:rsidP="001A6445"/>
    <w:p w:rsidR="001A6445" w:rsidRDefault="001A6445" w:rsidP="001A6445">
      <w:pPr>
        <w:rPr>
          <w:sz w:val="20"/>
          <w:szCs w:val="20"/>
          <w:highlight w:val="yellow"/>
        </w:rPr>
      </w:pPr>
      <w:r>
        <w:rPr>
          <w:sz w:val="20"/>
          <w:szCs w:val="20"/>
        </w:rPr>
        <w:t>The original capital cost of 21.3M came back from cost advisors at 33.2M, for the reasons outlined above.  The preferred way forwards from the project group came to a cost of £36.3M, as submitted in the OBC.  The clinical teams, in the build up to developing the FBC, had then requested more space on the 1</w:t>
      </w:r>
      <w:r>
        <w:rPr>
          <w:sz w:val="20"/>
          <w:szCs w:val="20"/>
          <w:vertAlign w:val="superscript"/>
        </w:rPr>
        <w:t>st</w:t>
      </w:r>
      <w:r>
        <w:rPr>
          <w:sz w:val="20"/>
          <w:szCs w:val="20"/>
        </w:rPr>
        <w:t xml:space="preserve"> floor and a design to take plant into the roof space was developed as a preferred way forwards “do maximum” option (option 4).  Following the meeting with the regional finance team the original option with plant on the first floor (option 4a) was again assessed with costs now standing at 36.8M</w:t>
      </w:r>
    </w:p>
    <w:p w:rsidR="001A6445" w:rsidRDefault="001A6445" w:rsidP="001A6445">
      <w:pPr>
        <w:rPr>
          <w:sz w:val="20"/>
          <w:szCs w:val="20"/>
        </w:rPr>
      </w:pPr>
    </w:p>
    <w:p w:rsidR="001A6445" w:rsidRDefault="001A6445" w:rsidP="001A6445">
      <w:pPr>
        <w:rPr>
          <w:sz w:val="20"/>
          <w:szCs w:val="20"/>
        </w:rPr>
      </w:pPr>
      <w:r>
        <w:rPr>
          <w:sz w:val="20"/>
          <w:szCs w:val="20"/>
        </w:rPr>
        <w:t>Other options had previously been discussed by the project working group which could bring costs down closer to the original 21.3M.  These options, from the original long list (options 5 and 8), were worked up in greater detail with more accurate cost advice.  Costs for the four options were:</w:t>
      </w:r>
    </w:p>
    <w:p w:rsidR="001A6445" w:rsidRDefault="001A6445" w:rsidP="001A6445">
      <w:pPr>
        <w:rPr>
          <w:sz w:val="20"/>
          <w:szCs w:val="20"/>
        </w:rPr>
      </w:pPr>
    </w:p>
    <w:tbl>
      <w:tblPr>
        <w:tblStyle w:val="TableGrid"/>
        <w:tblW w:w="0" w:type="auto"/>
        <w:tblInd w:w="0" w:type="dxa"/>
        <w:tblLook w:val="04A0" w:firstRow="1" w:lastRow="0" w:firstColumn="1" w:lastColumn="0" w:noHBand="0" w:noVBand="1"/>
      </w:tblPr>
      <w:tblGrid>
        <w:gridCol w:w="4508"/>
        <w:gridCol w:w="4508"/>
      </w:tblGrid>
      <w:tr w:rsidR="001A6445" w:rsidTr="001A6445">
        <w:tc>
          <w:tcPr>
            <w:tcW w:w="4508"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Option</w:t>
            </w:r>
          </w:p>
        </w:tc>
        <w:tc>
          <w:tcPr>
            <w:tcW w:w="4508"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Forecast Outturn</w:t>
            </w:r>
          </w:p>
        </w:tc>
      </w:tr>
      <w:tr w:rsidR="001A6445" w:rsidTr="001A6445">
        <w:tc>
          <w:tcPr>
            <w:tcW w:w="4508"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4 – preferred way forwards “do maximum”</w:t>
            </w:r>
          </w:p>
        </w:tc>
        <w:tc>
          <w:tcPr>
            <w:tcW w:w="4508"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£48, 822, 997</w:t>
            </w:r>
          </w:p>
        </w:tc>
      </w:tr>
      <w:tr w:rsidR="001A6445" w:rsidTr="001A6445">
        <w:tc>
          <w:tcPr>
            <w:tcW w:w="4508"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4a – preferred way forwards in original OBC</w:t>
            </w:r>
          </w:p>
        </w:tc>
        <w:tc>
          <w:tcPr>
            <w:tcW w:w="4508"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£36,767,551</w:t>
            </w:r>
          </w:p>
        </w:tc>
      </w:tr>
      <w:tr w:rsidR="001A6445" w:rsidTr="001A6445">
        <w:tc>
          <w:tcPr>
            <w:tcW w:w="4508"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5 – do less option</w:t>
            </w:r>
          </w:p>
        </w:tc>
        <w:tc>
          <w:tcPr>
            <w:tcW w:w="4508"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£33,897,58</w:t>
            </w:r>
          </w:p>
        </w:tc>
      </w:tr>
      <w:tr w:rsidR="001A6445" w:rsidTr="001A6445">
        <w:tc>
          <w:tcPr>
            <w:tcW w:w="4508"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8 – do minimum</w:t>
            </w:r>
          </w:p>
        </w:tc>
        <w:tc>
          <w:tcPr>
            <w:tcW w:w="4508" w:type="dxa"/>
            <w:tcBorders>
              <w:top w:val="single" w:sz="4" w:space="0" w:color="auto"/>
              <w:left w:val="single" w:sz="4" w:space="0" w:color="auto"/>
              <w:bottom w:val="single" w:sz="4" w:space="0" w:color="auto"/>
              <w:right w:val="single" w:sz="4" w:space="0" w:color="auto"/>
            </w:tcBorders>
            <w:hideMark/>
          </w:tcPr>
          <w:p w:rsidR="001A6445" w:rsidRDefault="001A6445">
            <w:pPr>
              <w:rPr>
                <w:sz w:val="20"/>
                <w:szCs w:val="20"/>
              </w:rPr>
            </w:pPr>
            <w:r>
              <w:rPr>
                <w:sz w:val="20"/>
                <w:szCs w:val="20"/>
              </w:rPr>
              <w:t>£27,931,892</w:t>
            </w:r>
          </w:p>
        </w:tc>
      </w:tr>
    </w:tbl>
    <w:p w:rsidR="001A6445" w:rsidRDefault="001A6445" w:rsidP="001A6445">
      <w:pPr>
        <w:rPr>
          <w:sz w:val="16"/>
          <w:szCs w:val="16"/>
        </w:rPr>
      </w:pPr>
      <w:r>
        <w:rPr>
          <w:sz w:val="16"/>
          <w:szCs w:val="16"/>
        </w:rPr>
        <w:t>Note: each of these options contain generous planning contingencies (10%), optimism bias (24%) and equipment costs which, it was felt, would reduce as the designs progressed into FBC.</w:t>
      </w:r>
    </w:p>
    <w:p w:rsidR="001A6445" w:rsidRDefault="001A6445" w:rsidP="001A6445">
      <w:pPr>
        <w:rPr>
          <w:sz w:val="20"/>
          <w:szCs w:val="20"/>
        </w:rPr>
      </w:pPr>
    </w:p>
    <w:p w:rsidR="001A6445" w:rsidRDefault="001A6445" w:rsidP="002F6011">
      <w:r>
        <w:t>Design option summaries</w:t>
      </w:r>
    </w:p>
    <w:p w:rsidR="001A6445" w:rsidRDefault="001A6445" w:rsidP="001A6445">
      <w:pPr>
        <w:rPr>
          <w:sz w:val="20"/>
          <w:szCs w:val="20"/>
        </w:rPr>
      </w:pPr>
    </w:p>
    <w:p w:rsidR="001A6445" w:rsidRDefault="001A6445" w:rsidP="002F6011">
      <w:r>
        <w:t>Option 4</w:t>
      </w:r>
    </w:p>
    <w:p w:rsidR="001A6445" w:rsidRDefault="001A6445" w:rsidP="001A6445">
      <w:pPr>
        <w:rPr>
          <w:rFonts w:cs="Arial"/>
          <w:sz w:val="20"/>
          <w:szCs w:val="20"/>
        </w:rPr>
      </w:pPr>
    </w:p>
    <w:p w:rsidR="001A6445" w:rsidRDefault="001A6445" w:rsidP="001A6445">
      <w:pPr>
        <w:rPr>
          <w:rFonts w:eastAsia="Calibri" w:cs="Arial"/>
          <w:sz w:val="20"/>
          <w:szCs w:val="20"/>
        </w:rPr>
      </w:pPr>
      <w:r>
        <w:rPr>
          <w:rFonts w:eastAsia="Calibri" w:cs="Arial"/>
          <w:sz w:val="20"/>
          <w:szCs w:val="20"/>
        </w:rPr>
        <w:t>Scheme characteristics:</w:t>
      </w:r>
    </w:p>
    <w:p w:rsidR="001A6445" w:rsidRDefault="001A6445" w:rsidP="001A6445">
      <w:pPr>
        <w:rPr>
          <w:rFonts w:eastAsia="Calibri" w:cs="Arial"/>
          <w:sz w:val="20"/>
          <w:szCs w:val="20"/>
        </w:rPr>
      </w:pPr>
    </w:p>
    <w:p w:rsidR="001A6445" w:rsidRDefault="001A6445" w:rsidP="00B8621B">
      <w:pPr>
        <w:numPr>
          <w:ilvl w:val="0"/>
          <w:numId w:val="5"/>
        </w:numPr>
        <w:rPr>
          <w:rFonts w:eastAsia="Calibri" w:cs="Arial"/>
          <w:sz w:val="20"/>
          <w:szCs w:val="20"/>
        </w:rPr>
      </w:pPr>
      <w:r>
        <w:rPr>
          <w:rFonts w:eastAsia="Calibri" w:cs="Arial"/>
          <w:sz w:val="20"/>
          <w:szCs w:val="20"/>
        </w:rPr>
        <w:t>Demolition of the existing Support Services Block (H Block);</w:t>
      </w:r>
    </w:p>
    <w:p w:rsidR="001A6445" w:rsidRDefault="001A6445" w:rsidP="00B8621B">
      <w:pPr>
        <w:numPr>
          <w:ilvl w:val="0"/>
          <w:numId w:val="5"/>
        </w:numPr>
        <w:rPr>
          <w:rFonts w:eastAsia="Calibri" w:cs="Arial"/>
          <w:sz w:val="20"/>
          <w:szCs w:val="20"/>
        </w:rPr>
      </w:pPr>
      <w:r>
        <w:rPr>
          <w:rFonts w:eastAsia="Calibri" w:cs="Arial"/>
          <w:sz w:val="20"/>
          <w:szCs w:val="20"/>
        </w:rPr>
        <w:t>New build A&amp;E infilling the space between existing A&amp;E and OPD previously occupied by the H Block;</w:t>
      </w:r>
    </w:p>
    <w:p w:rsidR="001A6445" w:rsidRDefault="001A6445" w:rsidP="00B8621B">
      <w:pPr>
        <w:numPr>
          <w:ilvl w:val="0"/>
          <w:numId w:val="5"/>
        </w:numPr>
        <w:rPr>
          <w:rFonts w:eastAsia="Calibri" w:cs="Arial"/>
          <w:sz w:val="20"/>
          <w:szCs w:val="20"/>
        </w:rPr>
      </w:pPr>
      <w:r>
        <w:rPr>
          <w:rFonts w:eastAsia="Calibri" w:cs="Arial"/>
          <w:sz w:val="20"/>
          <w:szCs w:val="20"/>
        </w:rPr>
        <w:t>New build A&amp;E clinical accommodation provided at ground floor level;</w:t>
      </w:r>
    </w:p>
    <w:p w:rsidR="001A6445" w:rsidRDefault="001A6445" w:rsidP="00B8621B">
      <w:pPr>
        <w:numPr>
          <w:ilvl w:val="0"/>
          <w:numId w:val="5"/>
        </w:numPr>
        <w:rPr>
          <w:rFonts w:eastAsia="Calibri" w:cs="Arial"/>
          <w:sz w:val="20"/>
          <w:szCs w:val="20"/>
        </w:rPr>
      </w:pPr>
      <w:r>
        <w:rPr>
          <w:rFonts w:eastAsia="Calibri" w:cs="Arial"/>
          <w:sz w:val="20"/>
          <w:szCs w:val="20"/>
        </w:rPr>
        <w:t>FAU, bereavement, administration, staff and training facilities at first floor level;</w:t>
      </w:r>
    </w:p>
    <w:p w:rsidR="001A6445" w:rsidRDefault="001A6445" w:rsidP="00B8621B">
      <w:pPr>
        <w:numPr>
          <w:ilvl w:val="0"/>
          <w:numId w:val="5"/>
        </w:numPr>
        <w:rPr>
          <w:rFonts w:eastAsia="Calibri" w:cs="Arial"/>
          <w:sz w:val="20"/>
          <w:szCs w:val="20"/>
        </w:rPr>
      </w:pPr>
      <w:r>
        <w:rPr>
          <w:rFonts w:eastAsia="Calibri" w:cs="Arial"/>
          <w:sz w:val="20"/>
          <w:szCs w:val="20"/>
        </w:rPr>
        <w:t>Air Handling Units and general plant at second floor level;</w:t>
      </w:r>
    </w:p>
    <w:p w:rsidR="001A6445" w:rsidRDefault="001A6445" w:rsidP="00B8621B">
      <w:pPr>
        <w:numPr>
          <w:ilvl w:val="0"/>
          <w:numId w:val="5"/>
        </w:numPr>
        <w:rPr>
          <w:rFonts w:eastAsia="Calibri" w:cs="Arial"/>
          <w:sz w:val="20"/>
          <w:szCs w:val="20"/>
        </w:rPr>
      </w:pPr>
      <w:r>
        <w:rPr>
          <w:rFonts w:eastAsia="Calibri" w:cs="Arial"/>
          <w:sz w:val="20"/>
          <w:szCs w:val="20"/>
        </w:rPr>
        <w:t>Bed lifts and stairs provided to front and rear of main floor area;</w:t>
      </w:r>
    </w:p>
    <w:p w:rsidR="001A6445" w:rsidRDefault="001A6445" w:rsidP="00B8621B">
      <w:pPr>
        <w:numPr>
          <w:ilvl w:val="0"/>
          <w:numId w:val="5"/>
        </w:numPr>
        <w:rPr>
          <w:rFonts w:eastAsia="Calibri" w:cs="Arial"/>
          <w:sz w:val="20"/>
          <w:szCs w:val="20"/>
        </w:rPr>
      </w:pPr>
      <w:r>
        <w:rPr>
          <w:rFonts w:eastAsia="Calibri" w:cs="Arial"/>
          <w:sz w:val="20"/>
          <w:szCs w:val="20"/>
        </w:rPr>
        <w:t>Existing A&amp;E reconfigured to provide clinical accommodation of UTC over a single floor (ground);</w:t>
      </w:r>
    </w:p>
    <w:p w:rsidR="001A6445" w:rsidRDefault="001A6445" w:rsidP="00B8621B">
      <w:pPr>
        <w:numPr>
          <w:ilvl w:val="0"/>
          <w:numId w:val="5"/>
        </w:numPr>
        <w:rPr>
          <w:rFonts w:eastAsia="Calibri" w:cs="Arial"/>
          <w:sz w:val="20"/>
          <w:szCs w:val="20"/>
        </w:rPr>
      </w:pPr>
      <w:r>
        <w:rPr>
          <w:rFonts w:eastAsia="Calibri" w:cs="Arial"/>
          <w:sz w:val="20"/>
          <w:szCs w:val="20"/>
        </w:rPr>
        <w:t xml:space="preserve">Front (east) of existing A&amp;E extended to accommodate new entrance and reception complete with </w:t>
      </w:r>
      <w:proofErr w:type="spellStart"/>
      <w:r>
        <w:rPr>
          <w:rFonts w:eastAsia="Calibri" w:cs="Arial"/>
          <w:sz w:val="20"/>
          <w:szCs w:val="20"/>
        </w:rPr>
        <w:t>Paeds</w:t>
      </w:r>
      <w:proofErr w:type="spellEnd"/>
      <w:r>
        <w:rPr>
          <w:rFonts w:eastAsia="Calibri" w:cs="Arial"/>
          <w:sz w:val="20"/>
          <w:szCs w:val="20"/>
        </w:rPr>
        <w:t xml:space="preserve"> area and ancillary toilets </w:t>
      </w:r>
      <w:proofErr w:type="spellStart"/>
      <w:r>
        <w:rPr>
          <w:rFonts w:eastAsia="Calibri" w:cs="Arial"/>
          <w:sz w:val="20"/>
          <w:szCs w:val="20"/>
        </w:rPr>
        <w:t>etc</w:t>
      </w:r>
      <w:proofErr w:type="spellEnd"/>
      <w:r>
        <w:rPr>
          <w:rFonts w:eastAsia="Calibri" w:cs="Arial"/>
          <w:sz w:val="20"/>
          <w:szCs w:val="20"/>
        </w:rPr>
        <w:t>;</w:t>
      </w:r>
    </w:p>
    <w:p w:rsidR="001A6445" w:rsidRDefault="001A6445" w:rsidP="00B8621B">
      <w:pPr>
        <w:numPr>
          <w:ilvl w:val="0"/>
          <w:numId w:val="5"/>
        </w:numPr>
        <w:rPr>
          <w:rFonts w:eastAsia="Calibri" w:cs="Arial"/>
          <w:sz w:val="20"/>
          <w:szCs w:val="20"/>
        </w:rPr>
      </w:pPr>
      <w:r>
        <w:rPr>
          <w:rFonts w:eastAsia="Calibri" w:cs="Arial"/>
          <w:sz w:val="20"/>
          <w:szCs w:val="20"/>
        </w:rPr>
        <w:t xml:space="preserve">Rear (west) of existing A&amp;E extended to accommodate psychiatric rooms. </w:t>
      </w:r>
    </w:p>
    <w:p w:rsidR="001A6445" w:rsidRDefault="001A6445" w:rsidP="001A6445">
      <w:pPr>
        <w:ind w:left="720"/>
        <w:contextualSpacing/>
        <w:rPr>
          <w:rFonts w:eastAsia="Calibri" w:cs="Arial"/>
          <w:sz w:val="20"/>
          <w:szCs w:val="20"/>
        </w:rPr>
      </w:pPr>
      <w:r>
        <w:rPr>
          <w:rFonts w:eastAsia="Calibri" w:cs="Arial"/>
          <w:sz w:val="20"/>
          <w:szCs w:val="20"/>
        </w:rPr>
        <w:br/>
      </w:r>
    </w:p>
    <w:p w:rsidR="001A6445" w:rsidRDefault="001A6445" w:rsidP="001A6445">
      <w:pPr>
        <w:rPr>
          <w:rFonts w:eastAsia="Calibri" w:cs="Arial"/>
          <w:sz w:val="20"/>
          <w:szCs w:val="20"/>
        </w:rPr>
      </w:pPr>
    </w:p>
    <w:p w:rsidR="001A6445" w:rsidRDefault="001A6445" w:rsidP="001A6445">
      <w:pPr>
        <w:rPr>
          <w:rFonts w:eastAsia="Calibri" w:cs="Arial"/>
          <w:sz w:val="20"/>
          <w:szCs w:val="20"/>
        </w:rPr>
      </w:pPr>
      <w:r>
        <w:rPr>
          <w:rFonts w:eastAsia="Calibri" w:cs="Arial"/>
          <w:sz w:val="20"/>
          <w:szCs w:val="20"/>
        </w:rPr>
        <w:t>Scheme benefits:</w:t>
      </w:r>
    </w:p>
    <w:p w:rsidR="001A6445" w:rsidRDefault="001A6445" w:rsidP="001A6445">
      <w:pPr>
        <w:rPr>
          <w:rFonts w:eastAsia="Calibri" w:cs="Arial"/>
          <w:sz w:val="20"/>
          <w:szCs w:val="20"/>
        </w:rPr>
      </w:pPr>
    </w:p>
    <w:p w:rsidR="001A6445" w:rsidRDefault="001A6445" w:rsidP="00B8621B">
      <w:pPr>
        <w:numPr>
          <w:ilvl w:val="0"/>
          <w:numId w:val="6"/>
        </w:numPr>
        <w:rPr>
          <w:rFonts w:eastAsia="Calibri" w:cs="Arial"/>
          <w:sz w:val="20"/>
          <w:szCs w:val="20"/>
        </w:rPr>
      </w:pPr>
      <w:r>
        <w:rPr>
          <w:rFonts w:eastAsia="Calibri" w:cs="Arial"/>
          <w:sz w:val="20"/>
          <w:szCs w:val="20"/>
        </w:rPr>
        <w:t xml:space="preserve">Provides ED and UTC accommodation side by side with good connectivity.  Clinical team have advised that layout of </w:t>
      </w:r>
      <w:proofErr w:type="spellStart"/>
      <w:r>
        <w:rPr>
          <w:rFonts w:eastAsia="Calibri" w:cs="Arial"/>
          <w:sz w:val="20"/>
          <w:szCs w:val="20"/>
        </w:rPr>
        <w:t>resus</w:t>
      </w:r>
      <w:proofErr w:type="spellEnd"/>
      <w:r>
        <w:rPr>
          <w:rFonts w:eastAsia="Calibri" w:cs="Arial"/>
          <w:sz w:val="20"/>
          <w:szCs w:val="20"/>
        </w:rPr>
        <w:t>, RAIT, Majors and Minors allows for good temporary compartmentation of areas from an operational perspective which would allow flexibility in use in the event of an infectious disease situation;</w:t>
      </w:r>
    </w:p>
    <w:p w:rsidR="001A6445" w:rsidRDefault="001A6445" w:rsidP="00B8621B">
      <w:pPr>
        <w:numPr>
          <w:ilvl w:val="0"/>
          <w:numId w:val="6"/>
        </w:numPr>
        <w:rPr>
          <w:rFonts w:eastAsia="Calibri" w:cs="Arial"/>
          <w:sz w:val="20"/>
          <w:szCs w:val="20"/>
        </w:rPr>
      </w:pPr>
      <w:r>
        <w:rPr>
          <w:rFonts w:eastAsia="Calibri" w:cs="Arial"/>
          <w:sz w:val="20"/>
          <w:szCs w:val="20"/>
        </w:rPr>
        <w:t>Single point of entry with ED and UTC Triage and internal navigation hub for streaming;</w:t>
      </w:r>
    </w:p>
    <w:p w:rsidR="001A6445" w:rsidRDefault="001A6445" w:rsidP="00B8621B">
      <w:pPr>
        <w:numPr>
          <w:ilvl w:val="0"/>
          <w:numId w:val="6"/>
        </w:numPr>
        <w:rPr>
          <w:rFonts w:eastAsia="Calibri" w:cs="Arial"/>
          <w:sz w:val="20"/>
          <w:szCs w:val="20"/>
        </w:rPr>
      </w:pPr>
      <w:r>
        <w:rPr>
          <w:rFonts w:eastAsia="Calibri" w:cs="Arial"/>
          <w:sz w:val="20"/>
          <w:szCs w:val="20"/>
        </w:rPr>
        <w:t>Large ambulance entrance lobby containing weighbridge and 5 trolley spaces, together with CBRN store;</w:t>
      </w:r>
    </w:p>
    <w:p w:rsidR="001A6445" w:rsidRDefault="001A6445" w:rsidP="00B8621B">
      <w:pPr>
        <w:numPr>
          <w:ilvl w:val="0"/>
          <w:numId w:val="6"/>
        </w:numPr>
        <w:rPr>
          <w:rFonts w:eastAsia="Calibri" w:cs="Arial"/>
          <w:sz w:val="20"/>
          <w:szCs w:val="20"/>
        </w:rPr>
      </w:pPr>
      <w:r>
        <w:rPr>
          <w:rFonts w:eastAsia="Calibri" w:cs="Arial"/>
          <w:sz w:val="20"/>
          <w:szCs w:val="20"/>
        </w:rPr>
        <w:t xml:space="preserve">Bereavement suite provided, adjacent and above </w:t>
      </w:r>
      <w:proofErr w:type="spellStart"/>
      <w:r>
        <w:rPr>
          <w:rFonts w:eastAsia="Calibri" w:cs="Arial"/>
          <w:sz w:val="20"/>
          <w:szCs w:val="20"/>
        </w:rPr>
        <w:t>resus</w:t>
      </w:r>
      <w:proofErr w:type="spellEnd"/>
      <w:r>
        <w:rPr>
          <w:rFonts w:eastAsia="Calibri" w:cs="Arial"/>
          <w:sz w:val="20"/>
          <w:szCs w:val="20"/>
        </w:rPr>
        <w:t>;</w:t>
      </w:r>
    </w:p>
    <w:p w:rsidR="001A6445" w:rsidRDefault="001A6445" w:rsidP="00B8621B">
      <w:pPr>
        <w:numPr>
          <w:ilvl w:val="0"/>
          <w:numId w:val="6"/>
        </w:numPr>
        <w:rPr>
          <w:rFonts w:eastAsia="Calibri" w:cs="Arial"/>
          <w:sz w:val="20"/>
          <w:szCs w:val="20"/>
        </w:rPr>
      </w:pPr>
      <w:r>
        <w:rPr>
          <w:rFonts w:eastAsia="Calibri" w:cs="Arial"/>
          <w:sz w:val="20"/>
          <w:szCs w:val="20"/>
        </w:rPr>
        <w:lastRenderedPageBreak/>
        <w:t>Diagnostics suite available to both ED and UTC, located between the two for ease of access and containing both CT and X-Ray;</w:t>
      </w:r>
    </w:p>
    <w:p w:rsidR="001A6445" w:rsidRDefault="001A6445" w:rsidP="00B8621B">
      <w:pPr>
        <w:numPr>
          <w:ilvl w:val="0"/>
          <w:numId w:val="6"/>
        </w:numPr>
        <w:rPr>
          <w:rFonts w:eastAsia="Calibri" w:cs="Arial"/>
          <w:sz w:val="20"/>
          <w:szCs w:val="20"/>
        </w:rPr>
      </w:pPr>
      <w:r>
        <w:rPr>
          <w:rFonts w:eastAsia="Calibri" w:cs="Arial"/>
          <w:sz w:val="20"/>
          <w:szCs w:val="20"/>
        </w:rPr>
        <w:t>Two room psychiatric suite achieved with separate entrance;</w:t>
      </w:r>
    </w:p>
    <w:p w:rsidR="001A6445" w:rsidRDefault="001A6445" w:rsidP="00B8621B">
      <w:pPr>
        <w:numPr>
          <w:ilvl w:val="0"/>
          <w:numId w:val="6"/>
        </w:numPr>
        <w:rPr>
          <w:rFonts w:eastAsia="Calibri" w:cs="Arial"/>
          <w:sz w:val="20"/>
          <w:szCs w:val="20"/>
        </w:rPr>
      </w:pPr>
      <w:r>
        <w:rPr>
          <w:rFonts w:eastAsia="Calibri" w:cs="Arial"/>
          <w:sz w:val="20"/>
          <w:szCs w:val="20"/>
        </w:rPr>
        <w:t>Full training and seminar accommodation provided, this at first floor level away from clinical areas;</w:t>
      </w:r>
    </w:p>
    <w:p w:rsidR="001A6445" w:rsidRDefault="001A6445" w:rsidP="00B8621B">
      <w:pPr>
        <w:numPr>
          <w:ilvl w:val="0"/>
          <w:numId w:val="6"/>
        </w:numPr>
        <w:rPr>
          <w:rFonts w:eastAsia="Calibri" w:cs="Arial"/>
          <w:sz w:val="20"/>
          <w:szCs w:val="20"/>
        </w:rPr>
      </w:pPr>
      <w:r>
        <w:rPr>
          <w:rFonts w:eastAsia="Calibri" w:cs="Arial"/>
          <w:sz w:val="20"/>
          <w:szCs w:val="20"/>
        </w:rPr>
        <w:t xml:space="preserve">Full range of staff changing, toilet and mess facilities at first floor level.  Additional local provision for staff toilets </w:t>
      </w:r>
      <w:proofErr w:type="spellStart"/>
      <w:r>
        <w:rPr>
          <w:rFonts w:eastAsia="Calibri" w:cs="Arial"/>
          <w:sz w:val="20"/>
          <w:szCs w:val="20"/>
        </w:rPr>
        <w:t>etc</w:t>
      </w:r>
      <w:proofErr w:type="spellEnd"/>
      <w:r>
        <w:rPr>
          <w:rFonts w:eastAsia="Calibri" w:cs="Arial"/>
          <w:sz w:val="20"/>
          <w:szCs w:val="20"/>
        </w:rPr>
        <w:t xml:space="preserve"> provided in both </w:t>
      </w:r>
      <w:proofErr w:type="spellStart"/>
      <w:r>
        <w:rPr>
          <w:rFonts w:eastAsia="Calibri" w:cs="Arial"/>
          <w:sz w:val="20"/>
          <w:szCs w:val="20"/>
        </w:rPr>
        <w:t>Resus</w:t>
      </w:r>
      <w:proofErr w:type="spellEnd"/>
      <w:r>
        <w:rPr>
          <w:rFonts w:eastAsia="Calibri" w:cs="Arial"/>
          <w:sz w:val="20"/>
          <w:szCs w:val="20"/>
        </w:rPr>
        <w:t xml:space="preserve"> / ED and UTC areas.</w:t>
      </w:r>
    </w:p>
    <w:p w:rsidR="001A6445" w:rsidRDefault="001A6445" w:rsidP="001A6445">
      <w:pPr>
        <w:rPr>
          <w:rFonts w:eastAsia="Calibri" w:cs="Arial"/>
          <w:sz w:val="20"/>
          <w:szCs w:val="20"/>
        </w:rPr>
      </w:pPr>
    </w:p>
    <w:p w:rsidR="001A6445" w:rsidRDefault="001A6445" w:rsidP="002F6011">
      <w:r>
        <w:t>Option 4a</w:t>
      </w:r>
    </w:p>
    <w:p w:rsidR="001A6445" w:rsidRDefault="001A6445" w:rsidP="001A6445">
      <w:pPr>
        <w:rPr>
          <w:sz w:val="20"/>
          <w:szCs w:val="20"/>
        </w:rPr>
      </w:pPr>
    </w:p>
    <w:p w:rsidR="001A6445" w:rsidRDefault="001A6445" w:rsidP="001A6445">
      <w:pPr>
        <w:rPr>
          <w:rFonts w:eastAsia="Calibri" w:cs="Arial"/>
          <w:sz w:val="20"/>
          <w:szCs w:val="20"/>
        </w:rPr>
      </w:pPr>
      <w:r>
        <w:rPr>
          <w:rFonts w:eastAsia="Calibri" w:cs="Arial"/>
          <w:sz w:val="20"/>
          <w:szCs w:val="20"/>
        </w:rPr>
        <w:t>Scheme characteristics:</w:t>
      </w:r>
    </w:p>
    <w:p w:rsidR="001A6445" w:rsidRDefault="001A6445" w:rsidP="001A6445">
      <w:pPr>
        <w:rPr>
          <w:rFonts w:eastAsia="Calibri" w:cs="Arial"/>
          <w:sz w:val="20"/>
          <w:szCs w:val="20"/>
        </w:rPr>
      </w:pPr>
    </w:p>
    <w:p w:rsidR="001A6445" w:rsidRDefault="001A6445" w:rsidP="00B8621B">
      <w:pPr>
        <w:numPr>
          <w:ilvl w:val="0"/>
          <w:numId w:val="7"/>
        </w:numPr>
        <w:rPr>
          <w:rFonts w:eastAsia="Calibri" w:cs="Arial"/>
          <w:sz w:val="20"/>
          <w:szCs w:val="20"/>
        </w:rPr>
      </w:pPr>
      <w:r>
        <w:rPr>
          <w:rFonts w:eastAsia="Calibri" w:cs="Arial"/>
          <w:sz w:val="20"/>
          <w:szCs w:val="20"/>
        </w:rPr>
        <w:t>Demolition of the existing Support Services Block;</w:t>
      </w:r>
    </w:p>
    <w:p w:rsidR="001A6445" w:rsidRDefault="001A6445" w:rsidP="00B8621B">
      <w:pPr>
        <w:numPr>
          <w:ilvl w:val="0"/>
          <w:numId w:val="7"/>
        </w:numPr>
        <w:rPr>
          <w:rFonts w:eastAsia="Calibri" w:cs="Arial"/>
          <w:sz w:val="20"/>
          <w:szCs w:val="20"/>
        </w:rPr>
      </w:pPr>
      <w:r>
        <w:rPr>
          <w:rFonts w:eastAsia="Calibri" w:cs="Arial"/>
          <w:sz w:val="20"/>
          <w:szCs w:val="20"/>
        </w:rPr>
        <w:t>New build A&amp;E infilling the space between existing A&amp;E and OPD previously occupied by the Support Services Block;</w:t>
      </w:r>
    </w:p>
    <w:p w:rsidR="001A6445" w:rsidRDefault="001A6445" w:rsidP="00B8621B">
      <w:pPr>
        <w:numPr>
          <w:ilvl w:val="0"/>
          <w:numId w:val="7"/>
        </w:numPr>
        <w:rPr>
          <w:rFonts w:eastAsia="Calibri" w:cs="Arial"/>
          <w:sz w:val="20"/>
          <w:szCs w:val="20"/>
        </w:rPr>
      </w:pPr>
      <w:r>
        <w:rPr>
          <w:rFonts w:eastAsia="Calibri" w:cs="Arial"/>
          <w:sz w:val="20"/>
          <w:szCs w:val="20"/>
        </w:rPr>
        <w:t>New build A&amp;E clinical accommodation provided at ground floor level;</w:t>
      </w:r>
    </w:p>
    <w:p w:rsidR="001A6445" w:rsidRDefault="001A6445" w:rsidP="00B8621B">
      <w:pPr>
        <w:numPr>
          <w:ilvl w:val="0"/>
          <w:numId w:val="7"/>
        </w:numPr>
        <w:rPr>
          <w:rFonts w:eastAsia="Calibri" w:cs="Arial"/>
          <w:sz w:val="20"/>
          <w:szCs w:val="20"/>
        </w:rPr>
      </w:pPr>
      <w:r>
        <w:rPr>
          <w:rFonts w:eastAsia="Calibri" w:cs="Arial"/>
          <w:sz w:val="20"/>
          <w:szCs w:val="20"/>
        </w:rPr>
        <w:t>FAU, bereavement, administration, staff and training facilities at first floor level;</w:t>
      </w:r>
    </w:p>
    <w:p w:rsidR="001A6445" w:rsidRDefault="001A6445" w:rsidP="00B8621B">
      <w:pPr>
        <w:numPr>
          <w:ilvl w:val="0"/>
          <w:numId w:val="7"/>
        </w:numPr>
        <w:rPr>
          <w:rFonts w:eastAsia="Calibri" w:cs="Arial"/>
          <w:sz w:val="20"/>
          <w:szCs w:val="20"/>
        </w:rPr>
      </w:pPr>
      <w:r>
        <w:rPr>
          <w:rFonts w:eastAsia="Calibri" w:cs="Arial"/>
          <w:sz w:val="20"/>
          <w:szCs w:val="20"/>
        </w:rPr>
        <w:t>AHU and general plant also at first floor level;</w:t>
      </w:r>
    </w:p>
    <w:p w:rsidR="001A6445" w:rsidRDefault="001A6445" w:rsidP="00B8621B">
      <w:pPr>
        <w:numPr>
          <w:ilvl w:val="0"/>
          <w:numId w:val="7"/>
        </w:numPr>
        <w:rPr>
          <w:rFonts w:eastAsia="Calibri" w:cs="Arial"/>
          <w:sz w:val="20"/>
          <w:szCs w:val="20"/>
        </w:rPr>
      </w:pPr>
      <w:r>
        <w:rPr>
          <w:rFonts w:eastAsia="Calibri" w:cs="Arial"/>
          <w:sz w:val="20"/>
          <w:szCs w:val="20"/>
        </w:rPr>
        <w:t>Bed lifts and stairs provided to front and rear of main floor area;</w:t>
      </w:r>
    </w:p>
    <w:p w:rsidR="001A6445" w:rsidRDefault="001A6445" w:rsidP="00B8621B">
      <w:pPr>
        <w:numPr>
          <w:ilvl w:val="0"/>
          <w:numId w:val="7"/>
        </w:numPr>
        <w:rPr>
          <w:rFonts w:eastAsia="Calibri" w:cs="Arial"/>
          <w:sz w:val="20"/>
          <w:szCs w:val="20"/>
        </w:rPr>
      </w:pPr>
      <w:r>
        <w:rPr>
          <w:rFonts w:eastAsia="Calibri" w:cs="Arial"/>
          <w:sz w:val="20"/>
          <w:szCs w:val="20"/>
        </w:rPr>
        <w:t>Existing A&amp;E reconfigured to provide clinical accommodation of UTC over a single floor (ground);</w:t>
      </w:r>
    </w:p>
    <w:p w:rsidR="001A6445" w:rsidRDefault="001A6445" w:rsidP="00B8621B">
      <w:pPr>
        <w:numPr>
          <w:ilvl w:val="0"/>
          <w:numId w:val="7"/>
        </w:numPr>
        <w:rPr>
          <w:rFonts w:eastAsia="Calibri" w:cs="Arial"/>
          <w:sz w:val="20"/>
          <w:szCs w:val="20"/>
        </w:rPr>
      </w:pPr>
      <w:r>
        <w:rPr>
          <w:rFonts w:eastAsia="Calibri" w:cs="Arial"/>
          <w:sz w:val="20"/>
          <w:szCs w:val="20"/>
        </w:rPr>
        <w:t xml:space="preserve">Front (east) of existing A&amp;E extended to accommodate new entrance and reception complete with </w:t>
      </w:r>
      <w:proofErr w:type="spellStart"/>
      <w:r>
        <w:rPr>
          <w:rFonts w:eastAsia="Calibri" w:cs="Arial"/>
          <w:sz w:val="20"/>
          <w:szCs w:val="20"/>
        </w:rPr>
        <w:t>Paeds</w:t>
      </w:r>
      <w:proofErr w:type="spellEnd"/>
      <w:r>
        <w:rPr>
          <w:rFonts w:eastAsia="Calibri" w:cs="Arial"/>
          <w:sz w:val="20"/>
          <w:szCs w:val="20"/>
        </w:rPr>
        <w:t xml:space="preserve"> area and ancillary toilets </w:t>
      </w:r>
      <w:proofErr w:type="spellStart"/>
      <w:r>
        <w:rPr>
          <w:rFonts w:eastAsia="Calibri" w:cs="Arial"/>
          <w:sz w:val="20"/>
          <w:szCs w:val="20"/>
        </w:rPr>
        <w:t>etc</w:t>
      </w:r>
      <w:proofErr w:type="spellEnd"/>
      <w:r>
        <w:rPr>
          <w:rFonts w:eastAsia="Calibri" w:cs="Arial"/>
          <w:sz w:val="20"/>
          <w:szCs w:val="20"/>
        </w:rPr>
        <w:t>;</w:t>
      </w:r>
    </w:p>
    <w:p w:rsidR="001A6445" w:rsidRDefault="001A6445" w:rsidP="00B8621B">
      <w:pPr>
        <w:numPr>
          <w:ilvl w:val="0"/>
          <w:numId w:val="7"/>
        </w:numPr>
        <w:rPr>
          <w:rFonts w:eastAsia="Calibri" w:cs="Arial"/>
          <w:sz w:val="20"/>
          <w:szCs w:val="20"/>
        </w:rPr>
      </w:pPr>
      <w:r>
        <w:rPr>
          <w:rFonts w:eastAsia="Calibri" w:cs="Arial"/>
          <w:sz w:val="20"/>
          <w:szCs w:val="20"/>
        </w:rPr>
        <w:t xml:space="preserve">Rear (west) of existing A&amp;E extended to accommodate psychiatric rooms. </w:t>
      </w:r>
      <w:r>
        <w:rPr>
          <w:rFonts w:eastAsia="Calibri" w:cs="Arial"/>
          <w:sz w:val="20"/>
          <w:szCs w:val="20"/>
        </w:rPr>
        <w:br/>
      </w:r>
    </w:p>
    <w:p w:rsidR="001A6445" w:rsidRDefault="001A6445" w:rsidP="001A6445">
      <w:pPr>
        <w:rPr>
          <w:rFonts w:eastAsia="Calibri" w:cs="Arial"/>
          <w:sz w:val="20"/>
          <w:szCs w:val="20"/>
        </w:rPr>
      </w:pPr>
    </w:p>
    <w:p w:rsidR="001A6445" w:rsidRDefault="001A6445" w:rsidP="001A6445">
      <w:pPr>
        <w:rPr>
          <w:rFonts w:eastAsia="Calibri" w:cs="Arial"/>
          <w:sz w:val="20"/>
          <w:szCs w:val="20"/>
        </w:rPr>
      </w:pPr>
    </w:p>
    <w:p w:rsidR="001A6445" w:rsidRDefault="001A6445" w:rsidP="001A6445">
      <w:pPr>
        <w:rPr>
          <w:rFonts w:eastAsia="Calibri" w:cs="Arial"/>
          <w:sz w:val="20"/>
          <w:szCs w:val="20"/>
        </w:rPr>
      </w:pPr>
      <w:r>
        <w:rPr>
          <w:rFonts w:eastAsia="Calibri" w:cs="Arial"/>
          <w:sz w:val="20"/>
          <w:szCs w:val="20"/>
        </w:rPr>
        <w:t>Scheme benefits:</w:t>
      </w:r>
    </w:p>
    <w:p w:rsidR="001A6445" w:rsidRDefault="001A6445" w:rsidP="001A6445">
      <w:pPr>
        <w:rPr>
          <w:rFonts w:eastAsia="Calibri" w:cs="Arial"/>
          <w:sz w:val="20"/>
          <w:szCs w:val="20"/>
        </w:rPr>
      </w:pPr>
    </w:p>
    <w:p w:rsidR="001A6445" w:rsidRDefault="001A6445" w:rsidP="00B8621B">
      <w:pPr>
        <w:numPr>
          <w:ilvl w:val="0"/>
          <w:numId w:val="8"/>
        </w:numPr>
        <w:rPr>
          <w:rFonts w:eastAsia="Calibri" w:cs="Arial"/>
          <w:sz w:val="20"/>
          <w:szCs w:val="20"/>
        </w:rPr>
      </w:pPr>
      <w:r>
        <w:rPr>
          <w:rFonts w:eastAsia="Calibri" w:cs="Arial"/>
          <w:sz w:val="20"/>
          <w:szCs w:val="20"/>
        </w:rPr>
        <w:t xml:space="preserve">Provides ED and UTC accommodation side by side with good connectivity.  Clinical team have advised that layout of </w:t>
      </w:r>
      <w:proofErr w:type="spellStart"/>
      <w:r>
        <w:rPr>
          <w:rFonts w:eastAsia="Calibri" w:cs="Arial"/>
          <w:sz w:val="20"/>
          <w:szCs w:val="20"/>
        </w:rPr>
        <w:t>resus</w:t>
      </w:r>
      <w:proofErr w:type="spellEnd"/>
      <w:r>
        <w:rPr>
          <w:rFonts w:eastAsia="Calibri" w:cs="Arial"/>
          <w:sz w:val="20"/>
          <w:szCs w:val="20"/>
        </w:rPr>
        <w:t xml:space="preserve">, RAIT, Majors and Minors allows for good temporary compartmentation of areas from an operational perspective which would allow flexibility in use in the event of an infectious disease situation; </w:t>
      </w:r>
    </w:p>
    <w:p w:rsidR="001A6445" w:rsidRDefault="001A6445" w:rsidP="00B8621B">
      <w:pPr>
        <w:numPr>
          <w:ilvl w:val="0"/>
          <w:numId w:val="8"/>
        </w:numPr>
        <w:rPr>
          <w:rFonts w:eastAsia="Calibri" w:cs="Arial"/>
          <w:sz w:val="20"/>
          <w:szCs w:val="20"/>
        </w:rPr>
      </w:pPr>
      <w:r>
        <w:rPr>
          <w:rFonts w:eastAsia="Calibri" w:cs="Arial"/>
          <w:sz w:val="20"/>
          <w:szCs w:val="20"/>
        </w:rPr>
        <w:t>Single point of entry with ED and UTC Triage and internal navigation hub for streaming;</w:t>
      </w:r>
    </w:p>
    <w:p w:rsidR="001A6445" w:rsidRDefault="001A6445" w:rsidP="00B8621B">
      <w:pPr>
        <w:numPr>
          <w:ilvl w:val="0"/>
          <w:numId w:val="8"/>
        </w:numPr>
        <w:rPr>
          <w:rFonts w:eastAsia="Calibri" w:cs="Arial"/>
          <w:sz w:val="20"/>
          <w:szCs w:val="20"/>
        </w:rPr>
      </w:pPr>
      <w:r>
        <w:rPr>
          <w:rFonts w:eastAsia="Calibri" w:cs="Arial"/>
          <w:sz w:val="20"/>
          <w:szCs w:val="20"/>
        </w:rPr>
        <w:t>Large ambulance entrance lobby containing weighbridge and 5 trolley spaces, together with CBRN store;</w:t>
      </w:r>
    </w:p>
    <w:p w:rsidR="001A6445" w:rsidRDefault="001A6445" w:rsidP="00B8621B">
      <w:pPr>
        <w:numPr>
          <w:ilvl w:val="0"/>
          <w:numId w:val="8"/>
        </w:numPr>
        <w:rPr>
          <w:rFonts w:eastAsia="Calibri" w:cs="Arial"/>
          <w:sz w:val="20"/>
          <w:szCs w:val="20"/>
        </w:rPr>
      </w:pPr>
      <w:r>
        <w:rPr>
          <w:rFonts w:eastAsia="Calibri" w:cs="Arial"/>
          <w:sz w:val="20"/>
          <w:szCs w:val="20"/>
        </w:rPr>
        <w:t xml:space="preserve">Bereavement suite provided, adjacent and above </w:t>
      </w:r>
      <w:proofErr w:type="spellStart"/>
      <w:r>
        <w:rPr>
          <w:rFonts w:eastAsia="Calibri" w:cs="Arial"/>
          <w:sz w:val="20"/>
          <w:szCs w:val="20"/>
        </w:rPr>
        <w:t>resus</w:t>
      </w:r>
      <w:proofErr w:type="spellEnd"/>
      <w:r>
        <w:rPr>
          <w:rFonts w:eastAsia="Calibri" w:cs="Arial"/>
          <w:sz w:val="20"/>
          <w:szCs w:val="20"/>
        </w:rPr>
        <w:t>;</w:t>
      </w:r>
    </w:p>
    <w:p w:rsidR="001A6445" w:rsidRDefault="001A6445" w:rsidP="00B8621B">
      <w:pPr>
        <w:numPr>
          <w:ilvl w:val="0"/>
          <w:numId w:val="8"/>
        </w:numPr>
        <w:rPr>
          <w:rFonts w:eastAsia="Calibri" w:cs="Arial"/>
          <w:sz w:val="20"/>
          <w:szCs w:val="20"/>
        </w:rPr>
      </w:pPr>
      <w:r>
        <w:rPr>
          <w:rFonts w:eastAsia="Calibri" w:cs="Arial"/>
          <w:sz w:val="20"/>
          <w:szCs w:val="20"/>
        </w:rPr>
        <w:t>Diagnostics suit available to both ED and UTC, located between the two for ease of access and containing both CT and X-Ray;</w:t>
      </w:r>
    </w:p>
    <w:p w:rsidR="001A6445" w:rsidRDefault="001A6445" w:rsidP="00B8621B">
      <w:pPr>
        <w:numPr>
          <w:ilvl w:val="0"/>
          <w:numId w:val="8"/>
        </w:numPr>
        <w:rPr>
          <w:rFonts w:eastAsia="Calibri" w:cs="Arial"/>
          <w:sz w:val="20"/>
          <w:szCs w:val="20"/>
        </w:rPr>
      </w:pPr>
      <w:r>
        <w:rPr>
          <w:rFonts w:eastAsia="Calibri" w:cs="Arial"/>
          <w:sz w:val="20"/>
          <w:szCs w:val="20"/>
        </w:rPr>
        <w:t>Two room psychiatric suite achieved with separate entrance;</w:t>
      </w:r>
    </w:p>
    <w:p w:rsidR="001A6445" w:rsidRDefault="001A6445" w:rsidP="00B8621B">
      <w:pPr>
        <w:numPr>
          <w:ilvl w:val="0"/>
          <w:numId w:val="8"/>
        </w:numPr>
        <w:rPr>
          <w:rFonts w:eastAsia="Calibri" w:cs="Arial"/>
          <w:sz w:val="20"/>
          <w:szCs w:val="20"/>
        </w:rPr>
      </w:pPr>
      <w:r>
        <w:rPr>
          <w:rFonts w:eastAsia="Calibri" w:cs="Arial"/>
          <w:sz w:val="20"/>
          <w:szCs w:val="20"/>
        </w:rPr>
        <w:t>Training and seminar accommodation provided, this at first floor level away from clinical areas.</w:t>
      </w:r>
    </w:p>
    <w:p w:rsidR="001A6445" w:rsidRDefault="001A6445" w:rsidP="00B8621B">
      <w:pPr>
        <w:numPr>
          <w:ilvl w:val="0"/>
          <w:numId w:val="8"/>
        </w:numPr>
        <w:rPr>
          <w:rFonts w:eastAsia="Calibri" w:cs="Arial"/>
          <w:sz w:val="20"/>
          <w:szCs w:val="20"/>
        </w:rPr>
      </w:pPr>
      <w:r>
        <w:rPr>
          <w:rFonts w:eastAsia="Calibri" w:cs="Arial"/>
          <w:sz w:val="20"/>
          <w:szCs w:val="20"/>
        </w:rPr>
        <w:t xml:space="preserve">Staff changing, toilet and mess facilities at first floor level.   Additional local provision for staff toilets </w:t>
      </w:r>
      <w:proofErr w:type="spellStart"/>
      <w:r>
        <w:rPr>
          <w:rFonts w:eastAsia="Calibri" w:cs="Arial"/>
          <w:sz w:val="20"/>
          <w:szCs w:val="20"/>
        </w:rPr>
        <w:t>etc</w:t>
      </w:r>
      <w:proofErr w:type="spellEnd"/>
      <w:r>
        <w:rPr>
          <w:rFonts w:eastAsia="Calibri" w:cs="Arial"/>
          <w:sz w:val="20"/>
          <w:szCs w:val="20"/>
        </w:rPr>
        <w:t xml:space="preserve"> provided in both </w:t>
      </w:r>
      <w:proofErr w:type="spellStart"/>
      <w:r>
        <w:rPr>
          <w:rFonts w:eastAsia="Calibri" w:cs="Arial"/>
          <w:sz w:val="20"/>
          <w:szCs w:val="20"/>
        </w:rPr>
        <w:t>Resus</w:t>
      </w:r>
      <w:proofErr w:type="spellEnd"/>
      <w:r>
        <w:rPr>
          <w:rFonts w:eastAsia="Calibri" w:cs="Arial"/>
          <w:sz w:val="20"/>
          <w:szCs w:val="20"/>
        </w:rPr>
        <w:t xml:space="preserve"> / ED and UTC areas.</w:t>
      </w:r>
    </w:p>
    <w:p w:rsidR="001A6445" w:rsidRDefault="001A6445" w:rsidP="001A6445">
      <w:pPr>
        <w:rPr>
          <w:rFonts w:eastAsia="Calibri" w:cs="Arial"/>
          <w:sz w:val="20"/>
          <w:szCs w:val="20"/>
        </w:rPr>
      </w:pPr>
    </w:p>
    <w:p w:rsidR="001A6445" w:rsidRDefault="001A6445" w:rsidP="001A6445">
      <w:pPr>
        <w:rPr>
          <w:rFonts w:eastAsia="Calibri" w:cs="Arial"/>
          <w:sz w:val="20"/>
          <w:szCs w:val="20"/>
        </w:rPr>
      </w:pPr>
      <w:r>
        <w:rPr>
          <w:rFonts w:eastAsia="Calibri" w:cs="Arial"/>
          <w:sz w:val="20"/>
          <w:szCs w:val="20"/>
        </w:rPr>
        <w:t>Scheme negatives compared with Option 4:</w:t>
      </w:r>
    </w:p>
    <w:p w:rsidR="001A6445" w:rsidRDefault="001A6445" w:rsidP="001A6445">
      <w:pPr>
        <w:rPr>
          <w:rFonts w:eastAsia="Calibri" w:cs="Arial"/>
          <w:sz w:val="20"/>
          <w:szCs w:val="20"/>
        </w:rPr>
      </w:pPr>
    </w:p>
    <w:p w:rsidR="001A6445" w:rsidRDefault="001A6445" w:rsidP="00B8621B">
      <w:pPr>
        <w:numPr>
          <w:ilvl w:val="0"/>
          <w:numId w:val="9"/>
        </w:numPr>
        <w:spacing w:after="160" w:line="256" w:lineRule="auto"/>
        <w:contextualSpacing/>
        <w:rPr>
          <w:rFonts w:eastAsia="Calibri" w:cs="Arial"/>
          <w:sz w:val="20"/>
          <w:szCs w:val="20"/>
        </w:rPr>
      </w:pPr>
      <w:r>
        <w:rPr>
          <w:rFonts w:eastAsia="Calibri" w:cs="Arial"/>
          <w:sz w:val="20"/>
          <w:szCs w:val="20"/>
        </w:rPr>
        <w:t>frailty capacity reduced from 4 to 3 rooms;</w:t>
      </w:r>
    </w:p>
    <w:p w:rsidR="001A6445" w:rsidRDefault="001A6445" w:rsidP="00B8621B">
      <w:pPr>
        <w:numPr>
          <w:ilvl w:val="0"/>
          <w:numId w:val="9"/>
        </w:numPr>
        <w:spacing w:after="160" w:line="256" w:lineRule="auto"/>
        <w:contextualSpacing/>
        <w:rPr>
          <w:rFonts w:eastAsia="Calibri" w:cs="Arial"/>
          <w:sz w:val="20"/>
          <w:szCs w:val="20"/>
        </w:rPr>
      </w:pPr>
      <w:r>
        <w:rPr>
          <w:rFonts w:eastAsia="Calibri" w:cs="Arial"/>
          <w:sz w:val="20"/>
          <w:szCs w:val="20"/>
        </w:rPr>
        <w:t>very little storage for ED stock – would need to find alternative space or reduce office space;</w:t>
      </w:r>
    </w:p>
    <w:p w:rsidR="001A6445" w:rsidRDefault="001A6445" w:rsidP="00B8621B">
      <w:pPr>
        <w:numPr>
          <w:ilvl w:val="0"/>
          <w:numId w:val="9"/>
        </w:numPr>
        <w:spacing w:after="160" w:line="256" w:lineRule="auto"/>
        <w:contextualSpacing/>
        <w:rPr>
          <w:rFonts w:eastAsia="Calibri" w:cs="Arial"/>
          <w:sz w:val="20"/>
          <w:szCs w:val="20"/>
        </w:rPr>
      </w:pPr>
      <w:proofErr w:type="gramStart"/>
      <w:r>
        <w:rPr>
          <w:rFonts w:eastAsia="Calibri" w:cs="Arial"/>
          <w:sz w:val="20"/>
          <w:szCs w:val="20"/>
        </w:rPr>
        <w:t>existing</w:t>
      </w:r>
      <w:proofErr w:type="gramEnd"/>
      <w:r>
        <w:rPr>
          <w:rFonts w:eastAsia="Calibri" w:cs="Arial"/>
          <w:sz w:val="20"/>
          <w:szCs w:val="20"/>
        </w:rPr>
        <w:t xml:space="preserve"> staff from the H Block need to be accommodated in alternative space – plans include c1.2M for expansion of OP’s or portable buildings.</w:t>
      </w:r>
    </w:p>
    <w:p w:rsidR="001A6445" w:rsidRDefault="001A6445" w:rsidP="001A6445">
      <w:pPr>
        <w:rPr>
          <w:rFonts w:eastAsia="Calibri" w:cs="Arial"/>
          <w:sz w:val="20"/>
          <w:szCs w:val="20"/>
        </w:rPr>
      </w:pPr>
    </w:p>
    <w:p w:rsidR="001A6445" w:rsidRDefault="001A6445" w:rsidP="002F6011">
      <w:r>
        <w:t>Option 5</w:t>
      </w:r>
    </w:p>
    <w:p w:rsidR="001A6445" w:rsidRDefault="001A6445" w:rsidP="001A6445">
      <w:pPr>
        <w:rPr>
          <w:sz w:val="20"/>
          <w:szCs w:val="20"/>
        </w:rPr>
      </w:pPr>
    </w:p>
    <w:p w:rsidR="001A6445" w:rsidRDefault="001A6445" w:rsidP="001A6445">
      <w:pPr>
        <w:rPr>
          <w:rFonts w:eastAsia="Calibri" w:cs="Arial"/>
          <w:sz w:val="20"/>
          <w:szCs w:val="20"/>
        </w:rPr>
      </w:pPr>
      <w:r>
        <w:rPr>
          <w:rFonts w:eastAsia="Calibri" w:cs="Arial"/>
          <w:sz w:val="20"/>
          <w:szCs w:val="20"/>
        </w:rPr>
        <w:t>Scheme characteristics:</w:t>
      </w:r>
    </w:p>
    <w:p w:rsidR="001A6445" w:rsidRDefault="001A6445" w:rsidP="001A6445">
      <w:pPr>
        <w:rPr>
          <w:rFonts w:eastAsia="Calibri" w:cs="Arial"/>
          <w:sz w:val="20"/>
          <w:szCs w:val="20"/>
        </w:rPr>
      </w:pPr>
    </w:p>
    <w:p w:rsidR="001A6445" w:rsidRDefault="001A6445" w:rsidP="00B8621B">
      <w:pPr>
        <w:numPr>
          <w:ilvl w:val="0"/>
          <w:numId w:val="10"/>
        </w:numPr>
        <w:rPr>
          <w:rFonts w:eastAsia="Calibri" w:cs="Arial"/>
          <w:sz w:val="20"/>
          <w:szCs w:val="20"/>
        </w:rPr>
      </w:pPr>
      <w:r>
        <w:rPr>
          <w:rFonts w:eastAsia="Calibri" w:cs="Arial"/>
          <w:sz w:val="20"/>
          <w:szCs w:val="20"/>
        </w:rPr>
        <w:lastRenderedPageBreak/>
        <w:t>Remodelling of existing A&amp;E to provide core ED spaces including 6 RIAT bays, 12 majors plus supporting services, entrance and triage spaces;</w:t>
      </w:r>
    </w:p>
    <w:p w:rsidR="001A6445" w:rsidRDefault="001A6445" w:rsidP="00B8621B">
      <w:pPr>
        <w:numPr>
          <w:ilvl w:val="0"/>
          <w:numId w:val="10"/>
        </w:numPr>
        <w:rPr>
          <w:rFonts w:eastAsia="Calibri" w:cs="Arial"/>
          <w:sz w:val="20"/>
          <w:szCs w:val="20"/>
        </w:rPr>
      </w:pPr>
      <w:r>
        <w:rPr>
          <w:rFonts w:eastAsia="Calibri" w:cs="Arial"/>
          <w:sz w:val="20"/>
          <w:szCs w:val="20"/>
        </w:rPr>
        <w:t xml:space="preserve">Side (south) of existing A&amp;E extended to accommodate 6 </w:t>
      </w:r>
      <w:proofErr w:type="spellStart"/>
      <w:r>
        <w:rPr>
          <w:rFonts w:eastAsia="Calibri" w:cs="Arial"/>
          <w:sz w:val="20"/>
          <w:szCs w:val="20"/>
        </w:rPr>
        <w:t>resus</w:t>
      </w:r>
      <w:proofErr w:type="spellEnd"/>
      <w:r>
        <w:rPr>
          <w:rFonts w:eastAsia="Calibri" w:cs="Arial"/>
          <w:sz w:val="20"/>
          <w:szCs w:val="20"/>
        </w:rPr>
        <w:t xml:space="preserve"> bays complete with donning and doffing rooms and supporting spaces.   This is a two-storey extension with plant being provided at first floor level;</w:t>
      </w:r>
    </w:p>
    <w:p w:rsidR="001A6445" w:rsidRDefault="001A6445" w:rsidP="00B8621B">
      <w:pPr>
        <w:numPr>
          <w:ilvl w:val="0"/>
          <w:numId w:val="10"/>
        </w:numPr>
        <w:rPr>
          <w:rFonts w:eastAsia="Calibri" w:cs="Arial"/>
          <w:sz w:val="20"/>
          <w:szCs w:val="20"/>
        </w:rPr>
      </w:pPr>
      <w:r>
        <w:rPr>
          <w:rFonts w:eastAsia="Calibri" w:cs="Arial"/>
          <w:sz w:val="20"/>
          <w:szCs w:val="20"/>
        </w:rPr>
        <w:t>Rear (west) of existing A&amp;E extended to accommodate diagnostic suite (but without CT) and a single psychiatric room.  This is a single storey extension;</w:t>
      </w:r>
    </w:p>
    <w:p w:rsidR="001A6445" w:rsidRDefault="001A6445" w:rsidP="00B8621B">
      <w:pPr>
        <w:numPr>
          <w:ilvl w:val="0"/>
          <w:numId w:val="10"/>
        </w:numPr>
        <w:rPr>
          <w:rFonts w:eastAsia="Calibri" w:cs="Arial"/>
          <w:sz w:val="20"/>
          <w:szCs w:val="20"/>
        </w:rPr>
      </w:pPr>
      <w:r>
        <w:rPr>
          <w:rFonts w:eastAsia="Calibri" w:cs="Arial"/>
          <w:sz w:val="20"/>
          <w:szCs w:val="20"/>
        </w:rPr>
        <w:t>Front (east) of existing A&amp;E extended to accommodate new baby change and infant feed areas.  This is a minor single storey extension;</w:t>
      </w:r>
    </w:p>
    <w:p w:rsidR="001A6445" w:rsidRDefault="001A6445" w:rsidP="00B8621B">
      <w:pPr>
        <w:numPr>
          <w:ilvl w:val="0"/>
          <w:numId w:val="10"/>
        </w:numPr>
        <w:rPr>
          <w:rFonts w:eastAsia="Calibri" w:cs="Arial"/>
          <w:sz w:val="20"/>
          <w:szCs w:val="20"/>
        </w:rPr>
      </w:pPr>
      <w:r>
        <w:rPr>
          <w:rFonts w:eastAsia="Calibri" w:cs="Arial"/>
          <w:sz w:val="20"/>
          <w:szCs w:val="20"/>
        </w:rPr>
        <w:t xml:space="preserve">Existing support services block retained and reconfigured at ground floor level to provide main UTC spaces including Minors rooms, Fit-to-sit area, </w:t>
      </w:r>
      <w:proofErr w:type="gramStart"/>
      <w:r>
        <w:rPr>
          <w:rFonts w:eastAsia="Calibri" w:cs="Arial"/>
          <w:sz w:val="20"/>
          <w:szCs w:val="20"/>
        </w:rPr>
        <w:t>Clean</w:t>
      </w:r>
      <w:proofErr w:type="gramEnd"/>
      <w:r>
        <w:rPr>
          <w:rFonts w:eastAsia="Calibri" w:cs="Arial"/>
          <w:sz w:val="20"/>
          <w:szCs w:val="20"/>
        </w:rPr>
        <w:t xml:space="preserve"> Procedures, Plaster Room, FAU and </w:t>
      </w:r>
      <w:proofErr w:type="spellStart"/>
      <w:r>
        <w:rPr>
          <w:rFonts w:eastAsia="Calibri" w:cs="Arial"/>
          <w:sz w:val="20"/>
          <w:szCs w:val="20"/>
        </w:rPr>
        <w:t>Paeds</w:t>
      </w:r>
      <w:proofErr w:type="spellEnd"/>
      <w:r>
        <w:rPr>
          <w:rFonts w:eastAsia="Calibri" w:cs="Arial"/>
          <w:sz w:val="20"/>
          <w:szCs w:val="20"/>
        </w:rPr>
        <w:t xml:space="preserve"> suites.   Minor infill extensions added to provide the additional space required;</w:t>
      </w:r>
    </w:p>
    <w:p w:rsidR="001A6445" w:rsidRDefault="001A6445" w:rsidP="00B8621B">
      <w:pPr>
        <w:numPr>
          <w:ilvl w:val="0"/>
          <w:numId w:val="10"/>
        </w:numPr>
        <w:rPr>
          <w:rFonts w:eastAsia="Calibri" w:cs="Arial"/>
          <w:sz w:val="20"/>
          <w:szCs w:val="20"/>
        </w:rPr>
      </w:pPr>
      <w:r>
        <w:rPr>
          <w:rFonts w:eastAsia="Calibri" w:cs="Arial"/>
          <w:sz w:val="20"/>
          <w:szCs w:val="20"/>
        </w:rPr>
        <w:t>Existing support services block reconfigured at first floor level to provide staff training and support areas together with AHU/ plant spaces as required to serve the ground floor accommodation below;   Minor infill extension added to north side to accommodate training facility.</w:t>
      </w:r>
    </w:p>
    <w:p w:rsidR="001A6445" w:rsidRDefault="001A6445" w:rsidP="001A6445">
      <w:pPr>
        <w:rPr>
          <w:rFonts w:eastAsia="Calibri" w:cs="Arial"/>
          <w:sz w:val="20"/>
          <w:szCs w:val="20"/>
        </w:rPr>
      </w:pPr>
    </w:p>
    <w:p w:rsidR="001A6445" w:rsidRDefault="001A6445" w:rsidP="001A6445">
      <w:pPr>
        <w:rPr>
          <w:rFonts w:eastAsia="Calibri" w:cs="Arial"/>
          <w:sz w:val="20"/>
          <w:szCs w:val="20"/>
        </w:rPr>
      </w:pPr>
    </w:p>
    <w:p w:rsidR="001A6445" w:rsidRDefault="001A6445" w:rsidP="001A6445">
      <w:pPr>
        <w:rPr>
          <w:rFonts w:eastAsia="Calibri" w:cs="Arial"/>
          <w:sz w:val="20"/>
          <w:szCs w:val="20"/>
        </w:rPr>
      </w:pPr>
      <w:r>
        <w:rPr>
          <w:rFonts w:eastAsia="Calibri" w:cs="Arial"/>
          <w:sz w:val="20"/>
          <w:szCs w:val="20"/>
        </w:rPr>
        <w:br/>
        <w:t>Scheme benefits:</w:t>
      </w:r>
    </w:p>
    <w:p w:rsidR="001A6445" w:rsidRDefault="001A6445" w:rsidP="001A6445">
      <w:pPr>
        <w:rPr>
          <w:rFonts w:eastAsia="Calibri" w:cs="Arial"/>
          <w:sz w:val="20"/>
          <w:szCs w:val="20"/>
        </w:rPr>
      </w:pPr>
    </w:p>
    <w:p w:rsidR="001A6445" w:rsidRDefault="001A6445" w:rsidP="00B8621B">
      <w:pPr>
        <w:numPr>
          <w:ilvl w:val="0"/>
          <w:numId w:val="11"/>
        </w:numPr>
        <w:rPr>
          <w:rFonts w:eastAsia="Calibri" w:cs="Arial"/>
          <w:sz w:val="20"/>
          <w:szCs w:val="20"/>
        </w:rPr>
      </w:pPr>
      <w:r>
        <w:rPr>
          <w:rFonts w:eastAsia="Calibri" w:cs="Arial"/>
          <w:sz w:val="20"/>
          <w:szCs w:val="20"/>
        </w:rPr>
        <w:t>Provides ED/A&amp;E in existing location reusing existing building albeit extended;</w:t>
      </w:r>
    </w:p>
    <w:p w:rsidR="001A6445" w:rsidRDefault="001A6445" w:rsidP="00B8621B">
      <w:pPr>
        <w:numPr>
          <w:ilvl w:val="0"/>
          <w:numId w:val="11"/>
        </w:numPr>
        <w:rPr>
          <w:rFonts w:eastAsia="Calibri" w:cs="Arial"/>
          <w:sz w:val="20"/>
          <w:szCs w:val="20"/>
        </w:rPr>
      </w:pPr>
      <w:r>
        <w:rPr>
          <w:rFonts w:eastAsia="Calibri" w:cs="Arial"/>
          <w:sz w:val="20"/>
          <w:szCs w:val="20"/>
        </w:rPr>
        <w:t>Provides UTC close to ED and again within an existing building;</w:t>
      </w:r>
    </w:p>
    <w:p w:rsidR="001A6445" w:rsidRDefault="001A6445" w:rsidP="00B8621B">
      <w:pPr>
        <w:numPr>
          <w:ilvl w:val="0"/>
          <w:numId w:val="11"/>
        </w:numPr>
        <w:rPr>
          <w:rFonts w:eastAsia="Calibri" w:cs="Arial"/>
          <w:sz w:val="20"/>
          <w:szCs w:val="20"/>
        </w:rPr>
      </w:pPr>
      <w:r>
        <w:rPr>
          <w:rFonts w:eastAsia="Calibri" w:cs="Arial"/>
          <w:sz w:val="20"/>
          <w:szCs w:val="20"/>
        </w:rPr>
        <w:t>General increase in accommodation over that currently extant;</w:t>
      </w:r>
    </w:p>
    <w:p w:rsidR="001A6445" w:rsidRDefault="001A6445" w:rsidP="00B8621B">
      <w:pPr>
        <w:numPr>
          <w:ilvl w:val="0"/>
          <w:numId w:val="11"/>
        </w:numPr>
        <w:rPr>
          <w:rFonts w:eastAsia="Calibri" w:cs="Arial"/>
          <w:sz w:val="20"/>
          <w:szCs w:val="20"/>
        </w:rPr>
      </w:pPr>
      <w:r>
        <w:rPr>
          <w:rFonts w:eastAsia="Calibri" w:cs="Arial"/>
          <w:sz w:val="20"/>
          <w:szCs w:val="20"/>
        </w:rPr>
        <w:t xml:space="preserve">New </w:t>
      </w:r>
      <w:proofErr w:type="spellStart"/>
      <w:r>
        <w:rPr>
          <w:rFonts w:eastAsia="Calibri" w:cs="Arial"/>
          <w:sz w:val="20"/>
          <w:szCs w:val="20"/>
        </w:rPr>
        <w:t>resus</w:t>
      </w:r>
      <w:proofErr w:type="spellEnd"/>
      <w:r>
        <w:rPr>
          <w:rFonts w:eastAsia="Calibri" w:cs="Arial"/>
          <w:sz w:val="20"/>
          <w:szCs w:val="20"/>
        </w:rPr>
        <w:t xml:space="preserve"> block has strong visual impact.</w:t>
      </w:r>
    </w:p>
    <w:p w:rsidR="001A6445" w:rsidRDefault="001A6445" w:rsidP="001A6445">
      <w:pPr>
        <w:rPr>
          <w:rFonts w:eastAsia="Calibri" w:cs="Arial"/>
          <w:sz w:val="20"/>
          <w:szCs w:val="20"/>
        </w:rPr>
      </w:pPr>
    </w:p>
    <w:p w:rsidR="001A6445" w:rsidRDefault="001A6445" w:rsidP="001A6445">
      <w:pPr>
        <w:rPr>
          <w:rFonts w:eastAsia="Calibri" w:cs="Arial"/>
          <w:sz w:val="20"/>
          <w:szCs w:val="20"/>
        </w:rPr>
      </w:pPr>
      <w:r>
        <w:rPr>
          <w:rFonts w:eastAsia="Calibri" w:cs="Arial"/>
          <w:sz w:val="20"/>
          <w:szCs w:val="20"/>
        </w:rPr>
        <w:t>Scheme negatives compared with Option 4:</w:t>
      </w:r>
    </w:p>
    <w:p w:rsidR="001A6445" w:rsidRDefault="001A6445" w:rsidP="001A6445">
      <w:pPr>
        <w:rPr>
          <w:rFonts w:eastAsia="Calibri" w:cs="Arial"/>
          <w:sz w:val="20"/>
          <w:szCs w:val="20"/>
        </w:rPr>
      </w:pPr>
    </w:p>
    <w:p w:rsidR="001A6445" w:rsidRDefault="001A6445" w:rsidP="00B8621B">
      <w:pPr>
        <w:numPr>
          <w:ilvl w:val="0"/>
          <w:numId w:val="12"/>
        </w:numPr>
        <w:rPr>
          <w:rFonts w:eastAsia="Calibri" w:cs="Arial"/>
          <w:sz w:val="20"/>
          <w:szCs w:val="20"/>
        </w:rPr>
      </w:pPr>
      <w:r>
        <w:rPr>
          <w:rFonts w:eastAsia="Calibri" w:cs="Arial"/>
          <w:sz w:val="20"/>
          <w:szCs w:val="20"/>
        </w:rPr>
        <w:t xml:space="preserve">Requires extensive road diversion to south of existing A&amp;E to accommodate </w:t>
      </w:r>
      <w:proofErr w:type="spellStart"/>
      <w:r>
        <w:rPr>
          <w:rFonts w:eastAsia="Calibri" w:cs="Arial"/>
          <w:sz w:val="20"/>
          <w:szCs w:val="20"/>
        </w:rPr>
        <w:t>Resus</w:t>
      </w:r>
      <w:proofErr w:type="spellEnd"/>
      <w:r>
        <w:rPr>
          <w:rFonts w:eastAsia="Calibri" w:cs="Arial"/>
          <w:sz w:val="20"/>
          <w:szCs w:val="20"/>
        </w:rPr>
        <w:t xml:space="preserve"> block;</w:t>
      </w:r>
    </w:p>
    <w:p w:rsidR="001A6445" w:rsidRDefault="001A6445" w:rsidP="00B8621B">
      <w:pPr>
        <w:numPr>
          <w:ilvl w:val="0"/>
          <w:numId w:val="12"/>
        </w:numPr>
        <w:rPr>
          <w:rFonts w:eastAsia="Calibri" w:cs="Arial"/>
          <w:sz w:val="20"/>
          <w:szCs w:val="20"/>
        </w:rPr>
      </w:pPr>
      <w:r>
        <w:rPr>
          <w:rFonts w:eastAsia="Calibri" w:cs="Arial"/>
          <w:sz w:val="20"/>
          <w:szCs w:val="20"/>
        </w:rPr>
        <w:t>Connectivity between ED and A&amp;E is not as strong;</w:t>
      </w:r>
    </w:p>
    <w:p w:rsidR="001A6445" w:rsidRDefault="001A6445" w:rsidP="00B8621B">
      <w:pPr>
        <w:numPr>
          <w:ilvl w:val="0"/>
          <w:numId w:val="12"/>
        </w:numPr>
        <w:rPr>
          <w:rFonts w:eastAsia="Calibri" w:cs="Arial"/>
          <w:sz w:val="20"/>
          <w:szCs w:val="20"/>
        </w:rPr>
      </w:pPr>
      <w:r>
        <w:rPr>
          <w:rFonts w:eastAsia="Calibri" w:cs="Arial"/>
          <w:sz w:val="20"/>
          <w:szCs w:val="20"/>
        </w:rPr>
        <w:t>Segregation of services does not work in the same fashion for easy temporary compartmentation;</w:t>
      </w:r>
    </w:p>
    <w:p w:rsidR="001A6445" w:rsidRDefault="001A6445" w:rsidP="00B8621B">
      <w:pPr>
        <w:numPr>
          <w:ilvl w:val="0"/>
          <w:numId w:val="12"/>
        </w:numPr>
        <w:rPr>
          <w:rFonts w:eastAsia="Calibri" w:cs="Arial"/>
          <w:sz w:val="20"/>
          <w:szCs w:val="20"/>
        </w:rPr>
      </w:pPr>
      <w:r>
        <w:rPr>
          <w:rFonts w:eastAsia="Calibri" w:cs="Arial"/>
          <w:sz w:val="20"/>
          <w:szCs w:val="20"/>
        </w:rPr>
        <w:t>Smaller waiting space achieved, with less visual impact;</w:t>
      </w:r>
    </w:p>
    <w:p w:rsidR="001A6445" w:rsidRDefault="001A6445" w:rsidP="00B8621B">
      <w:pPr>
        <w:numPr>
          <w:ilvl w:val="0"/>
          <w:numId w:val="12"/>
        </w:numPr>
        <w:rPr>
          <w:rFonts w:eastAsia="Calibri" w:cs="Arial"/>
          <w:sz w:val="20"/>
          <w:szCs w:val="20"/>
        </w:rPr>
      </w:pPr>
      <w:r>
        <w:rPr>
          <w:rFonts w:eastAsia="Calibri" w:cs="Arial"/>
          <w:sz w:val="20"/>
          <w:szCs w:val="20"/>
        </w:rPr>
        <w:t>No changing places / dignity suite provided;</w:t>
      </w:r>
    </w:p>
    <w:p w:rsidR="001A6445" w:rsidRDefault="001A6445" w:rsidP="00B8621B">
      <w:pPr>
        <w:numPr>
          <w:ilvl w:val="0"/>
          <w:numId w:val="12"/>
        </w:numPr>
        <w:rPr>
          <w:rFonts w:eastAsia="Calibri" w:cs="Arial"/>
          <w:sz w:val="20"/>
          <w:szCs w:val="20"/>
        </w:rPr>
      </w:pPr>
      <w:r>
        <w:rPr>
          <w:rFonts w:eastAsia="Calibri" w:cs="Arial"/>
          <w:sz w:val="20"/>
          <w:szCs w:val="20"/>
        </w:rPr>
        <w:t>Navigation hub reduced in size;</w:t>
      </w:r>
    </w:p>
    <w:p w:rsidR="001A6445" w:rsidRDefault="001A6445" w:rsidP="00B8621B">
      <w:pPr>
        <w:numPr>
          <w:ilvl w:val="0"/>
          <w:numId w:val="12"/>
        </w:numPr>
        <w:rPr>
          <w:rFonts w:eastAsia="Calibri" w:cs="Arial"/>
          <w:sz w:val="20"/>
          <w:szCs w:val="20"/>
        </w:rPr>
      </w:pPr>
      <w:proofErr w:type="spellStart"/>
      <w:r>
        <w:rPr>
          <w:rFonts w:eastAsia="Calibri" w:cs="Arial"/>
          <w:sz w:val="20"/>
          <w:szCs w:val="20"/>
        </w:rPr>
        <w:t>Resus</w:t>
      </w:r>
      <w:proofErr w:type="spellEnd"/>
      <w:r>
        <w:rPr>
          <w:rFonts w:eastAsia="Calibri" w:cs="Arial"/>
          <w:sz w:val="20"/>
          <w:szCs w:val="20"/>
        </w:rPr>
        <w:t xml:space="preserve"> facility has 6 dedicated bays but does not have the additional 3 </w:t>
      </w:r>
      <w:proofErr w:type="spellStart"/>
      <w:r>
        <w:rPr>
          <w:rFonts w:eastAsia="Calibri" w:cs="Arial"/>
          <w:sz w:val="20"/>
          <w:szCs w:val="20"/>
        </w:rPr>
        <w:t>resus</w:t>
      </w:r>
      <w:proofErr w:type="spellEnd"/>
      <w:r>
        <w:rPr>
          <w:rFonts w:eastAsia="Calibri" w:cs="Arial"/>
          <w:sz w:val="20"/>
          <w:szCs w:val="20"/>
        </w:rPr>
        <w:t xml:space="preserve"> capable bays located remotely within UTC to allow operation of </w:t>
      </w:r>
      <w:proofErr w:type="spellStart"/>
      <w:r>
        <w:rPr>
          <w:rFonts w:eastAsia="Calibri" w:cs="Arial"/>
          <w:sz w:val="20"/>
          <w:szCs w:val="20"/>
        </w:rPr>
        <w:t>resus</w:t>
      </w:r>
      <w:proofErr w:type="spellEnd"/>
      <w:r>
        <w:rPr>
          <w:rFonts w:eastAsia="Calibri" w:cs="Arial"/>
          <w:sz w:val="20"/>
          <w:szCs w:val="20"/>
        </w:rPr>
        <w:t xml:space="preserve"> if main </w:t>
      </w:r>
      <w:proofErr w:type="spellStart"/>
      <w:r>
        <w:rPr>
          <w:rFonts w:eastAsia="Calibri" w:cs="Arial"/>
          <w:sz w:val="20"/>
          <w:szCs w:val="20"/>
        </w:rPr>
        <w:t>resus</w:t>
      </w:r>
      <w:proofErr w:type="spellEnd"/>
      <w:r>
        <w:rPr>
          <w:rFonts w:eastAsia="Calibri" w:cs="Arial"/>
          <w:sz w:val="20"/>
          <w:szCs w:val="20"/>
        </w:rPr>
        <w:t xml:space="preserve"> block is infected;</w:t>
      </w:r>
    </w:p>
    <w:p w:rsidR="001A6445" w:rsidRDefault="001A6445" w:rsidP="00B8621B">
      <w:pPr>
        <w:numPr>
          <w:ilvl w:val="0"/>
          <w:numId w:val="12"/>
        </w:numPr>
        <w:rPr>
          <w:rFonts w:eastAsia="Calibri" w:cs="Arial"/>
          <w:sz w:val="20"/>
          <w:szCs w:val="20"/>
        </w:rPr>
      </w:pPr>
      <w:r>
        <w:rPr>
          <w:rFonts w:eastAsia="Calibri" w:cs="Arial"/>
          <w:sz w:val="20"/>
          <w:szCs w:val="20"/>
        </w:rPr>
        <w:t>UTC minors / C/E rooms reduced in number from 15 to 10;</w:t>
      </w:r>
    </w:p>
    <w:p w:rsidR="001A6445" w:rsidRDefault="001A6445" w:rsidP="00B8621B">
      <w:pPr>
        <w:numPr>
          <w:ilvl w:val="0"/>
          <w:numId w:val="12"/>
        </w:numPr>
        <w:rPr>
          <w:rFonts w:eastAsia="Calibri" w:cs="Arial"/>
          <w:sz w:val="20"/>
          <w:szCs w:val="20"/>
        </w:rPr>
      </w:pPr>
      <w:r>
        <w:rPr>
          <w:rFonts w:eastAsia="Calibri" w:cs="Arial"/>
          <w:sz w:val="20"/>
          <w:szCs w:val="20"/>
        </w:rPr>
        <w:t>1no. housekeeping room omitted in UTC;</w:t>
      </w:r>
    </w:p>
    <w:p w:rsidR="001A6445" w:rsidRDefault="001A6445" w:rsidP="00B8621B">
      <w:pPr>
        <w:numPr>
          <w:ilvl w:val="0"/>
          <w:numId w:val="12"/>
        </w:numPr>
        <w:rPr>
          <w:rFonts w:eastAsia="Calibri" w:cs="Arial"/>
          <w:sz w:val="20"/>
          <w:szCs w:val="20"/>
        </w:rPr>
      </w:pPr>
      <w:r>
        <w:rPr>
          <w:rFonts w:eastAsia="Calibri" w:cs="Arial"/>
          <w:sz w:val="20"/>
          <w:szCs w:val="20"/>
        </w:rPr>
        <w:t>1no. fit-to-sit space lost in UTC (reduction 16 to 15);</w:t>
      </w:r>
    </w:p>
    <w:p w:rsidR="001A6445" w:rsidRDefault="001A6445" w:rsidP="00B8621B">
      <w:pPr>
        <w:numPr>
          <w:ilvl w:val="0"/>
          <w:numId w:val="12"/>
        </w:numPr>
        <w:rPr>
          <w:rFonts w:eastAsia="Calibri" w:cs="Arial"/>
          <w:sz w:val="20"/>
          <w:szCs w:val="20"/>
        </w:rPr>
      </w:pPr>
      <w:r>
        <w:rPr>
          <w:rFonts w:eastAsia="Calibri" w:cs="Arial"/>
          <w:sz w:val="20"/>
          <w:szCs w:val="20"/>
        </w:rPr>
        <w:t xml:space="preserve">No bereavement suite provided to </w:t>
      </w:r>
      <w:proofErr w:type="spellStart"/>
      <w:r>
        <w:rPr>
          <w:rFonts w:eastAsia="Calibri" w:cs="Arial"/>
          <w:sz w:val="20"/>
          <w:szCs w:val="20"/>
        </w:rPr>
        <w:t>Resus</w:t>
      </w:r>
      <w:proofErr w:type="spellEnd"/>
      <w:r>
        <w:rPr>
          <w:rFonts w:eastAsia="Calibri" w:cs="Arial"/>
          <w:sz w:val="20"/>
          <w:szCs w:val="20"/>
        </w:rPr>
        <w:t>;</w:t>
      </w:r>
    </w:p>
    <w:p w:rsidR="001A6445" w:rsidRDefault="001A6445" w:rsidP="00B8621B">
      <w:pPr>
        <w:numPr>
          <w:ilvl w:val="0"/>
          <w:numId w:val="12"/>
        </w:numPr>
        <w:rPr>
          <w:rFonts w:eastAsia="Calibri" w:cs="Arial"/>
          <w:sz w:val="20"/>
          <w:szCs w:val="20"/>
        </w:rPr>
      </w:pPr>
      <w:r>
        <w:rPr>
          <w:rFonts w:eastAsia="Calibri" w:cs="Arial"/>
          <w:sz w:val="20"/>
          <w:szCs w:val="20"/>
        </w:rPr>
        <w:t xml:space="preserve">1no. patient accessible WC lost in </w:t>
      </w:r>
      <w:proofErr w:type="spellStart"/>
      <w:r>
        <w:rPr>
          <w:rFonts w:eastAsia="Calibri" w:cs="Arial"/>
          <w:sz w:val="20"/>
          <w:szCs w:val="20"/>
        </w:rPr>
        <w:t>Resus</w:t>
      </w:r>
      <w:proofErr w:type="spellEnd"/>
      <w:r>
        <w:rPr>
          <w:rFonts w:eastAsia="Calibri" w:cs="Arial"/>
          <w:sz w:val="20"/>
          <w:szCs w:val="20"/>
        </w:rPr>
        <w:t xml:space="preserve"> area;</w:t>
      </w:r>
    </w:p>
    <w:p w:rsidR="001A6445" w:rsidRDefault="001A6445" w:rsidP="00B8621B">
      <w:pPr>
        <w:numPr>
          <w:ilvl w:val="0"/>
          <w:numId w:val="12"/>
        </w:numPr>
        <w:rPr>
          <w:rFonts w:eastAsia="Calibri" w:cs="Arial"/>
          <w:sz w:val="20"/>
          <w:szCs w:val="20"/>
        </w:rPr>
      </w:pPr>
      <w:proofErr w:type="spellStart"/>
      <w:r>
        <w:rPr>
          <w:rFonts w:eastAsia="Calibri" w:cs="Arial"/>
          <w:sz w:val="20"/>
          <w:szCs w:val="20"/>
        </w:rPr>
        <w:t>Resus</w:t>
      </w:r>
      <w:proofErr w:type="spellEnd"/>
      <w:r>
        <w:rPr>
          <w:rFonts w:eastAsia="Calibri" w:cs="Arial"/>
          <w:sz w:val="20"/>
          <w:szCs w:val="20"/>
        </w:rPr>
        <w:t xml:space="preserve"> store omitted;</w:t>
      </w:r>
    </w:p>
    <w:p w:rsidR="001A6445" w:rsidRDefault="001A6445" w:rsidP="00B8621B">
      <w:pPr>
        <w:numPr>
          <w:ilvl w:val="0"/>
          <w:numId w:val="12"/>
        </w:numPr>
        <w:rPr>
          <w:rFonts w:eastAsia="Calibri" w:cs="Arial"/>
          <w:sz w:val="20"/>
          <w:szCs w:val="20"/>
        </w:rPr>
      </w:pPr>
      <w:r>
        <w:rPr>
          <w:rFonts w:eastAsia="Calibri" w:cs="Arial"/>
          <w:sz w:val="20"/>
          <w:szCs w:val="20"/>
        </w:rPr>
        <w:t>GFL local staff facilities more remote;</w:t>
      </w:r>
    </w:p>
    <w:p w:rsidR="001A6445" w:rsidRDefault="001A6445" w:rsidP="00B8621B">
      <w:pPr>
        <w:numPr>
          <w:ilvl w:val="0"/>
          <w:numId w:val="12"/>
        </w:numPr>
        <w:rPr>
          <w:rFonts w:eastAsia="Calibri" w:cs="Arial"/>
          <w:sz w:val="20"/>
          <w:szCs w:val="20"/>
        </w:rPr>
      </w:pPr>
      <w:r>
        <w:rPr>
          <w:rFonts w:eastAsia="Calibri" w:cs="Arial"/>
          <w:sz w:val="20"/>
          <w:szCs w:val="20"/>
        </w:rPr>
        <w:t>Reduced trolley space achieved at ambulance entrance;</w:t>
      </w:r>
    </w:p>
    <w:p w:rsidR="001A6445" w:rsidRDefault="001A6445" w:rsidP="00B8621B">
      <w:pPr>
        <w:numPr>
          <w:ilvl w:val="0"/>
          <w:numId w:val="12"/>
        </w:numPr>
        <w:rPr>
          <w:rFonts w:eastAsia="Calibri" w:cs="Arial"/>
          <w:sz w:val="20"/>
          <w:szCs w:val="20"/>
        </w:rPr>
      </w:pPr>
      <w:r>
        <w:rPr>
          <w:rFonts w:eastAsia="Calibri" w:cs="Arial"/>
          <w:sz w:val="20"/>
          <w:szCs w:val="20"/>
        </w:rPr>
        <w:t>CT Scanner omitted;</w:t>
      </w:r>
    </w:p>
    <w:p w:rsidR="001A6445" w:rsidRDefault="001A6445" w:rsidP="00B8621B">
      <w:pPr>
        <w:numPr>
          <w:ilvl w:val="0"/>
          <w:numId w:val="12"/>
        </w:numPr>
        <w:rPr>
          <w:rFonts w:eastAsia="Calibri" w:cs="Arial"/>
          <w:sz w:val="20"/>
          <w:szCs w:val="20"/>
        </w:rPr>
      </w:pPr>
      <w:r>
        <w:rPr>
          <w:rFonts w:eastAsia="Calibri" w:cs="Arial"/>
          <w:sz w:val="20"/>
          <w:szCs w:val="20"/>
        </w:rPr>
        <w:t>Psychiatric provision reduced by one room;</w:t>
      </w:r>
    </w:p>
    <w:p w:rsidR="001A6445" w:rsidRDefault="001A6445" w:rsidP="00B8621B">
      <w:pPr>
        <w:numPr>
          <w:ilvl w:val="0"/>
          <w:numId w:val="12"/>
        </w:numPr>
        <w:rPr>
          <w:rFonts w:eastAsia="Calibri" w:cs="Arial"/>
          <w:sz w:val="20"/>
          <w:szCs w:val="20"/>
        </w:rPr>
      </w:pPr>
      <w:r>
        <w:rPr>
          <w:rFonts w:eastAsia="Calibri" w:cs="Arial"/>
          <w:sz w:val="20"/>
          <w:szCs w:val="20"/>
        </w:rPr>
        <w:t>FAU clean and dirty utility rooms omitted;</w:t>
      </w:r>
    </w:p>
    <w:p w:rsidR="001A6445" w:rsidRDefault="001A6445" w:rsidP="00B8621B">
      <w:pPr>
        <w:numPr>
          <w:ilvl w:val="0"/>
          <w:numId w:val="12"/>
        </w:numPr>
        <w:rPr>
          <w:rFonts w:eastAsia="Calibri" w:cs="Arial"/>
          <w:sz w:val="20"/>
          <w:szCs w:val="20"/>
        </w:rPr>
      </w:pPr>
      <w:r>
        <w:rPr>
          <w:rFonts w:eastAsia="Calibri" w:cs="Arial"/>
          <w:sz w:val="20"/>
          <w:szCs w:val="20"/>
        </w:rPr>
        <w:t>Staff changing rooms reduced in area;</w:t>
      </w:r>
    </w:p>
    <w:p w:rsidR="001A6445" w:rsidRDefault="001A6445" w:rsidP="00B8621B">
      <w:pPr>
        <w:numPr>
          <w:ilvl w:val="0"/>
          <w:numId w:val="12"/>
        </w:numPr>
        <w:rPr>
          <w:rFonts w:eastAsia="Calibri" w:cs="Arial"/>
          <w:sz w:val="20"/>
          <w:szCs w:val="20"/>
        </w:rPr>
      </w:pPr>
      <w:r>
        <w:rPr>
          <w:rFonts w:eastAsia="Calibri" w:cs="Arial"/>
          <w:sz w:val="20"/>
          <w:szCs w:val="20"/>
        </w:rPr>
        <w:t>Training rooms reduced in size;</w:t>
      </w:r>
    </w:p>
    <w:p w:rsidR="001A6445" w:rsidRDefault="001A6445" w:rsidP="00B8621B">
      <w:pPr>
        <w:numPr>
          <w:ilvl w:val="0"/>
          <w:numId w:val="12"/>
        </w:numPr>
        <w:rPr>
          <w:rFonts w:eastAsia="Calibri" w:cs="Arial"/>
          <w:sz w:val="20"/>
          <w:szCs w:val="20"/>
        </w:rPr>
      </w:pPr>
      <w:r>
        <w:rPr>
          <w:rFonts w:eastAsia="Calibri" w:cs="Arial"/>
          <w:sz w:val="20"/>
          <w:szCs w:val="20"/>
        </w:rPr>
        <w:t>Existing staff from the H Block need to be accommodated in alternative space – plans include c1.2M for expansion of OP’s or portable buildings;</w:t>
      </w:r>
    </w:p>
    <w:p w:rsidR="001A6445" w:rsidRDefault="001A6445" w:rsidP="00B8621B">
      <w:pPr>
        <w:numPr>
          <w:ilvl w:val="0"/>
          <w:numId w:val="12"/>
        </w:numPr>
        <w:rPr>
          <w:rFonts w:eastAsia="Calibri" w:cs="Arial"/>
          <w:sz w:val="20"/>
          <w:szCs w:val="20"/>
        </w:rPr>
      </w:pPr>
      <w:r>
        <w:rPr>
          <w:rFonts w:eastAsia="Calibri" w:cs="Arial"/>
          <w:sz w:val="20"/>
          <w:szCs w:val="20"/>
        </w:rPr>
        <w:t>Offices located further away from ED (though closer to UTC);</w:t>
      </w:r>
    </w:p>
    <w:p w:rsidR="001A6445" w:rsidRDefault="001A6445" w:rsidP="00B8621B">
      <w:pPr>
        <w:numPr>
          <w:ilvl w:val="0"/>
          <w:numId w:val="12"/>
        </w:numPr>
        <w:rPr>
          <w:rFonts w:eastAsia="Calibri" w:cs="Arial"/>
          <w:sz w:val="20"/>
          <w:szCs w:val="20"/>
        </w:rPr>
      </w:pPr>
      <w:r>
        <w:rPr>
          <w:rFonts w:eastAsia="Calibri" w:cs="Arial"/>
          <w:sz w:val="20"/>
          <w:szCs w:val="20"/>
        </w:rPr>
        <w:t>General storage reduced from 184m2 to 42m2;</w:t>
      </w:r>
    </w:p>
    <w:p w:rsidR="001A6445" w:rsidRDefault="001A6445" w:rsidP="00B8621B">
      <w:pPr>
        <w:numPr>
          <w:ilvl w:val="0"/>
          <w:numId w:val="12"/>
        </w:numPr>
        <w:rPr>
          <w:rFonts w:eastAsia="Calibri" w:cs="Arial"/>
          <w:sz w:val="20"/>
          <w:szCs w:val="20"/>
        </w:rPr>
      </w:pPr>
      <w:r>
        <w:rPr>
          <w:rFonts w:eastAsia="Calibri" w:cs="Arial"/>
          <w:sz w:val="20"/>
          <w:szCs w:val="20"/>
        </w:rPr>
        <w:t xml:space="preserve">Communication path between </w:t>
      </w:r>
      <w:proofErr w:type="spellStart"/>
      <w:r>
        <w:rPr>
          <w:rFonts w:eastAsia="Calibri" w:cs="Arial"/>
          <w:sz w:val="20"/>
          <w:szCs w:val="20"/>
        </w:rPr>
        <w:t>resus</w:t>
      </w:r>
      <w:proofErr w:type="spellEnd"/>
      <w:r>
        <w:rPr>
          <w:rFonts w:eastAsia="Calibri" w:cs="Arial"/>
          <w:sz w:val="20"/>
          <w:szCs w:val="20"/>
        </w:rPr>
        <w:t xml:space="preserve"> and ED requires staff to travel through UTC to reach it.</w:t>
      </w:r>
    </w:p>
    <w:p w:rsidR="001A6445" w:rsidRDefault="001A6445" w:rsidP="001A6445">
      <w:pPr>
        <w:rPr>
          <w:rFonts w:eastAsia="Calibri" w:cs="Arial"/>
          <w:sz w:val="20"/>
          <w:szCs w:val="20"/>
        </w:rPr>
      </w:pPr>
    </w:p>
    <w:p w:rsidR="001A6445" w:rsidRDefault="001A6445" w:rsidP="002F6011">
      <w:r>
        <w:lastRenderedPageBreak/>
        <w:t>Option 8</w:t>
      </w:r>
    </w:p>
    <w:p w:rsidR="001A6445" w:rsidRDefault="001A6445" w:rsidP="001A6445">
      <w:pPr>
        <w:rPr>
          <w:sz w:val="20"/>
          <w:szCs w:val="20"/>
        </w:rPr>
      </w:pPr>
    </w:p>
    <w:p w:rsidR="001A6445" w:rsidRDefault="001A6445" w:rsidP="001A6445">
      <w:pPr>
        <w:rPr>
          <w:rFonts w:eastAsia="Calibri" w:cs="Arial"/>
          <w:sz w:val="20"/>
          <w:szCs w:val="20"/>
        </w:rPr>
      </w:pPr>
      <w:r>
        <w:rPr>
          <w:rFonts w:eastAsia="Calibri" w:cs="Arial"/>
          <w:sz w:val="20"/>
          <w:szCs w:val="20"/>
        </w:rPr>
        <w:t>Scheme characteristics:</w:t>
      </w:r>
    </w:p>
    <w:p w:rsidR="001A6445" w:rsidRDefault="001A6445" w:rsidP="001A6445">
      <w:pPr>
        <w:rPr>
          <w:rFonts w:eastAsia="Calibri" w:cs="Arial"/>
          <w:sz w:val="20"/>
          <w:szCs w:val="20"/>
        </w:rPr>
      </w:pPr>
    </w:p>
    <w:p w:rsidR="001A6445" w:rsidRDefault="001A6445" w:rsidP="00B8621B">
      <w:pPr>
        <w:numPr>
          <w:ilvl w:val="0"/>
          <w:numId w:val="13"/>
        </w:numPr>
        <w:rPr>
          <w:rFonts w:eastAsia="Calibri" w:cs="Arial"/>
          <w:sz w:val="20"/>
          <w:szCs w:val="20"/>
        </w:rPr>
      </w:pPr>
      <w:r>
        <w:rPr>
          <w:rFonts w:eastAsia="Calibri" w:cs="Arial"/>
          <w:sz w:val="20"/>
          <w:szCs w:val="20"/>
        </w:rPr>
        <w:t>Remodelling of existing A&amp;E to provide core ED spaces including 6 RIAT bays, 13 majors plus supporting services, navigation hub and some triage space;</w:t>
      </w:r>
    </w:p>
    <w:p w:rsidR="001A6445" w:rsidRDefault="001A6445" w:rsidP="00B8621B">
      <w:pPr>
        <w:numPr>
          <w:ilvl w:val="0"/>
          <w:numId w:val="13"/>
        </w:numPr>
        <w:rPr>
          <w:rFonts w:eastAsia="Calibri" w:cs="Arial"/>
          <w:sz w:val="20"/>
          <w:szCs w:val="20"/>
        </w:rPr>
      </w:pPr>
      <w:r>
        <w:rPr>
          <w:rFonts w:eastAsia="Calibri" w:cs="Arial"/>
          <w:sz w:val="20"/>
          <w:szCs w:val="20"/>
        </w:rPr>
        <w:t xml:space="preserve">Front (east) of existing A&amp;E extended to accommodate 6 </w:t>
      </w:r>
      <w:proofErr w:type="spellStart"/>
      <w:r>
        <w:rPr>
          <w:rFonts w:eastAsia="Calibri" w:cs="Arial"/>
          <w:sz w:val="20"/>
          <w:szCs w:val="20"/>
        </w:rPr>
        <w:t>resus</w:t>
      </w:r>
      <w:proofErr w:type="spellEnd"/>
      <w:r>
        <w:rPr>
          <w:rFonts w:eastAsia="Calibri" w:cs="Arial"/>
          <w:sz w:val="20"/>
          <w:szCs w:val="20"/>
        </w:rPr>
        <w:t xml:space="preserve"> bays complete with donning and doffing rooms and supporting spaces.  This is a two-storey extension with plant being provided at first floor level;</w:t>
      </w:r>
    </w:p>
    <w:p w:rsidR="001A6445" w:rsidRDefault="001A6445" w:rsidP="00B8621B">
      <w:pPr>
        <w:numPr>
          <w:ilvl w:val="0"/>
          <w:numId w:val="13"/>
        </w:numPr>
        <w:rPr>
          <w:rFonts w:eastAsia="Calibri" w:cs="Arial"/>
          <w:sz w:val="20"/>
          <w:szCs w:val="20"/>
        </w:rPr>
      </w:pPr>
      <w:r>
        <w:rPr>
          <w:rFonts w:eastAsia="Calibri" w:cs="Arial"/>
          <w:sz w:val="20"/>
          <w:szCs w:val="20"/>
        </w:rPr>
        <w:t>Rear (west) of existing A&amp;E extended to accommodate diagnostic suite (but without CT) and a single psychiatric room.  This is a single storey extension;</w:t>
      </w:r>
    </w:p>
    <w:p w:rsidR="001A6445" w:rsidRDefault="001A6445" w:rsidP="00B8621B">
      <w:pPr>
        <w:numPr>
          <w:ilvl w:val="0"/>
          <w:numId w:val="13"/>
        </w:numPr>
        <w:rPr>
          <w:rFonts w:eastAsia="Calibri" w:cs="Arial"/>
          <w:sz w:val="20"/>
          <w:szCs w:val="20"/>
        </w:rPr>
      </w:pPr>
      <w:r>
        <w:rPr>
          <w:rFonts w:eastAsia="Calibri" w:cs="Arial"/>
          <w:sz w:val="20"/>
          <w:szCs w:val="20"/>
        </w:rPr>
        <w:t xml:space="preserve">Existing support services block retained and reconfigured at ground floor level to provide main UTC spaces including Minors rooms, Fit-to-sit area, </w:t>
      </w:r>
      <w:proofErr w:type="gramStart"/>
      <w:r>
        <w:rPr>
          <w:rFonts w:eastAsia="Calibri" w:cs="Arial"/>
          <w:sz w:val="20"/>
          <w:szCs w:val="20"/>
        </w:rPr>
        <w:t>Clean</w:t>
      </w:r>
      <w:proofErr w:type="gramEnd"/>
      <w:r>
        <w:rPr>
          <w:rFonts w:eastAsia="Calibri" w:cs="Arial"/>
          <w:sz w:val="20"/>
          <w:szCs w:val="20"/>
        </w:rPr>
        <w:t xml:space="preserve"> Procedures, Plaster Room, FAU and </w:t>
      </w:r>
      <w:proofErr w:type="spellStart"/>
      <w:r>
        <w:rPr>
          <w:rFonts w:eastAsia="Calibri" w:cs="Arial"/>
          <w:sz w:val="20"/>
          <w:szCs w:val="20"/>
        </w:rPr>
        <w:t>Paeds</w:t>
      </w:r>
      <w:proofErr w:type="spellEnd"/>
      <w:r>
        <w:rPr>
          <w:rFonts w:eastAsia="Calibri" w:cs="Arial"/>
          <w:sz w:val="20"/>
          <w:szCs w:val="20"/>
        </w:rPr>
        <w:t xml:space="preserve"> suites.  Minor infill extensions added to north and south sides to provide the additional space required;</w:t>
      </w:r>
    </w:p>
    <w:p w:rsidR="001A6445" w:rsidRDefault="001A6445" w:rsidP="00B8621B">
      <w:pPr>
        <w:numPr>
          <w:ilvl w:val="0"/>
          <w:numId w:val="13"/>
        </w:numPr>
        <w:rPr>
          <w:rFonts w:eastAsia="Calibri" w:cs="Arial"/>
          <w:sz w:val="20"/>
          <w:szCs w:val="20"/>
        </w:rPr>
      </w:pPr>
      <w:r>
        <w:rPr>
          <w:rFonts w:eastAsia="Calibri" w:cs="Arial"/>
          <w:sz w:val="20"/>
          <w:szCs w:val="20"/>
        </w:rPr>
        <w:t>Existing support services block reconfigured at first floor level to provide staff training and support areas together with AHU/ plant spaces as required to serve the ground floor accommodation below;   Minor infill extension added to north side to accommodate training facility;</w:t>
      </w:r>
    </w:p>
    <w:p w:rsidR="001A6445" w:rsidRDefault="001A6445" w:rsidP="00B8621B">
      <w:pPr>
        <w:numPr>
          <w:ilvl w:val="0"/>
          <w:numId w:val="13"/>
        </w:numPr>
        <w:rPr>
          <w:rFonts w:eastAsia="Calibri" w:cs="Arial"/>
          <w:sz w:val="20"/>
          <w:szCs w:val="20"/>
        </w:rPr>
      </w:pPr>
      <w:r>
        <w:rPr>
          <w:rFonts w:eastAsia="Calibri" w:cs="Arial"/>
          <w:sz w:val="20"/>
          <w:szCs w:val="20"/>
        </w:rPr>
        <w:t>Front (east) of support services block extended to provide new pedestrian entrance, waiting area, patient toilets and nappy change and baby feed areas.</w:t>
      </w:r>
    </w:p>
    <w:p w:rsidR="001A6445" w:rsidRDefault="001A6445" w:rsidP="001A6445">
      <w:pPr>
        <w:rPr>
          <w:rFonts w:eastAsia="Calibri" w:cs="Arial"/>
          <w:sz w:val="20"/>
          <w:szCs w:val="20"/>
        </w:rPr>
      </w:pPr>
    </w:p>
    <w:p w:rsidR="001A6445" w:rsidRDefault="001A6445" w:rsidP="001A6445">
      <w:pPr>
        <w:rPr>
          <w:rFonts w:eastAsia="Calibri" w:cs="Arial"/>
          <w:sz w:val="20"/>
          <w:szCs w:val="20"/>
        </w:rPr>
      </w:pPr>
    </w:p>
    <w:p w:rsidR="001A6445" w:rsidRDefault="001A6445" w:rsidP="001A6445">
      <w:pPr>
        <w:rPr>
          <w:rFonts w:eastAsia="Calibri" w:cs="Arial"/>
          <w:sz w:val="20"/>
          <w:szCs w:val="20"/>
        </w:rPr>
      </w:pPr>
      <w:r>
        <w:rPr>
          <w:rFonts w:eastAsia="Calibri" w:cs="Arial"/>
          <w:sz w:val="20"/>
          <w:szCs w:val="20"/>
        </w:rPr>
        <w:br/>
        <w:t>Scheme benefits:</w:t>
      </w:r>
    </w:p>
    <w:p w:rsidR="001A6445" w:rsidRDefault="001A6445" w:rsidP="001A6445">
      <w:pPr>
        <w:rPr>
          <w:rFonts w:eastAsia="Calibri" w:cs="Arial"/>
          <w:sz w:val="20"/>
          <w:szCs w:val="20"/>
        </w:rPr>
      </w:pPr>
    </w:p>
    <w:p w:rsidR="001A6445" w:rsidRDefault="001A6445" w:rsidP="00B8621B">
      <w:pPr>
        <w:numPr>
          <w:ilvl w:val="0"/>
          <w:numId w:val="14"/>
        </w:numPr>
        <w:rPr>
          <w:rFonts w:eastAsia="Calibri" w:cs="Arial"/>
          <w:sz w:val="20"/>
          <w:szCs w:val="20"/>
        </w:rPr>
      </w:pPr>
      <w:r>
        <w:rPr>
          <w:rFonts w:eastAsia="Calibri" w:cs="Arial"/>
          <w:sz w:val="20"/>
          <w:szCs w:val="20"/>
        </w:rPr>
        <w:t>Provides ED/A&amp;E in existing location reusing existing building albeit extended;</w:t>
      </w:r>
    </w:p>
    <w:p w:rsidR="001A6445" w:rsidRDefault="001A6445" w:rsidP="00B8621B">
      <w:pPr>
        <w:numPr>
          <w:ilvl w:val="0"/>
          <w:numId w:val="14"/>
        </w:numPr>
        <w:rPr>
          <w:rFonts w:eastAsia="Calibri" w:cs="Arial"/>
          <w:sz w:val="20"/>
          <w:szCs w:val="20"/>
        </w:rPr>
      </w:pPr>
      <w:r>
        <w:rPr>
          <w:rFonts w:eastAsia="Calibri" w:cs="Arial"/>
          <w:sz w:val="20"/>
          <w:szCs w:val="20"/>
        </w:rPr>
        <w:t>Provides UTC close to ED and again within an existing building;</w:t>
      </w:r>
    </w:p>
    <w:p w:rsidR="001A6445" w:rsidRDefault="001A6445" w:rsidP="00B8621B">
      <w:pPr>
        <w:numPr>
          <w:ilvl w:val="0"/>
          <w:numId w:val="14"/>
        </w:numPr>
        <w:rPr>
          <w:rFonts w:eastAsia="Calibri" w:cs="Arial"/>
          <w:sz w:val="20"/>
          <w:szCs w:val="20"/>
        </w:rPr>
      </w:pPr>
      <w:r>
        <w:rPr>
          <w:rFonts w:eastAsia="Calibri" w:cs="Arial"/>
          <w:sz w:val="20"/>
          <w:szCs w:val="20"/>
        </w:rPr>
        <w:t>General increase in accommodation over that currently extant;</w:t>
      </w:r>
    </w:p>
    <w:p w:rsidR="001A6445" w:rsidRDefault="001A6445" w:rsidP="00B8621B">
      <w:pPr>
        <w:numPr>
          <w:ilvl w:val="0"/>
          <w:numId w:val="14"/>
        </w:numPr>
        <w:rPr>
          <w:rFonts w:eastAsia="Calibri" w:cs="Arial"/>
          <w:sz w:val="20"/>
          <w:szCs w:val="20"/>
        </w:rPr>
      </w:pPr>
      <w:r>
        <w:rPr>
          <w:rFonts w:eastAsia="Calibri" w:cs="Arial"/>
          <w:sz w:val="20"/>
          <w:szCs w:val="20"/>
        </w:rPr>
        <w:t xml:space="preserve">New </w:t>
      </w:r>
      <w:proofErr w:type="spellStart"/>
      <w:r>
        <w:rPr>
          <w:rFonts w:eastAsia="Calibri" w:cs="Arial"/>
          <w:sz w:val="20"/>
          <w:szCs w:val="20"/>
        </w:rPr>
        <w:t>resus</w:t>
      </w:r>
      <w:proofErr w:type="spellEnd"/>
      <w:r>
        <w:rPr>
          <w:rFonts w:eastAsia="Calibri" w:cs="Arial"/>
          <w:sz w:val="20"/>
          <w:szCs w:val="20"/>
        </w:rPr>
        <w:t xml:space="preserve"> block and waiting areas extensions have strong visual impact.</w:t>
      </w:r>
    </w:p>
    <w:p w:rsidR="001A6445" w:rsidRDefault="001A6445" w:rsidP="001A6445">
      <w:pPr>
        <w:rPr>
          <w:rFonts w:eastAsia="Calibri" w:cs="Arial"/>
          <w:sz w:val="20"/>
          <w:szCs w:val="20"/>
        </w:rPr>
      </w:pPr>
    </w:p>
    <w:p w:rsidR="001A6445" w:rsidRDefault="001A6445" w:rsidP="001A6445">
      <w:pPr>
        <w:rPr>
          <w:rFonts w:eastAsia="Calibri" w:cs="Arial"/>
          <w:sz w:val="20"/>
          <w:szCs w:val="20"/>
        </w:rPr>
      </w:pPr>
      <w:r>
        <w:rPr>
          <w:rFonts w:eastAsia="Calibri" w:cs="Arial"/>
          <w:sz w:val="20"/>
          <w:szCs w:val="20"/>
        </w:rPr>
        <w:t>Scheme negatives compared with Option 4:</w:t>
      </w:r>
    </w:p>
    <w:p w:rsidR="001A6445" w:rsidRDefault="001A6445" w:rsidP="001A6445">
      <w:pPr>
        <w:rPr>
          <w:rFonts w:eastAsia="Calibri" w:cs="Arial"/>
          <w:sz w:val="20"/>
          <w:szCs w:val="20"/>
        </w:rPr>
      </w:pPr>
    </w:p>
    <w:p w:rsidR="001A6445" w:rsidRDefault="001A6445" w:rsidP="00B8621B">
      <w:pPr>
        <w:numPr>
          <w:ilvl w:val="0"/>
          <w:numId w:val="15"/>
        </w:numPr>
        <w:rPr>
          <w:rFonts w:eastAsia="Calibri" w:cs="Arial"/>
          <w:sz w:val="20"/>
          <w:szCs w:val="20"/>
        </w:rPr>
      </w:pPr>
      <w:r>
        <w:rPr>
          <w:rFonts w:eastAsia="Calibri" w:cs="Arial"/>
          <w:sz w:val="20"/>
          <w:szCs w:val="20"/>
        </w:rPr>
        <w:t>Connectivity between ED and A&amp;E is not as strong;</w:t>
      </w:r>
    </w:p>
    <w:p w:rsidR="001A6445" w:rsidRDefault="001A6445" w:rsidP="00B8621B">
      <w:pPr>
        <w:numPr>
          <w:ilvl w:val="0"/>
          <w:numId w:val="15"/>
        </w:numPr>
        <w:rPr>
          <w:rFonts w:eastAsia="Calibri" w:cs="Arial"/>
          <w:sz w:val="20"/>
          <w:szCs w:val="20"/>
        </w:rPr>
      </w:pPr>
      <w:r>
        <w:rPr>
          <w:rFonts w:eastAsia="Calibri" w:cs="Arial"/>
          <w:sz w:val="20"/>
          <w:szCs w:val="20"/>
        </w:rPr>
        <w:t>Segregation of services does not work in the same fashion for easy temporary compartmentation;</w:t>
      </w:r>
    </w:p>
    <w:p w:rsidR="001A6445" w:rsidRDefault="001A6445" w:rsidP="00B8621B">
      <w:pPr>
        <w:numPr>
          <w:ilvl w:val="0"/>
          <w:numId w:val="15"/>
        </w:numPr>
        <w:rPr>
          <w:rFonts w:eastAsia="Calibri" w:cs="Arial"/>
          <w:sz w:val="20"/>
          <w:szCs w:val="20"/>
        </w:rPr>
      </w:pPr>
      <w:r>
        <w:rPr>
          <w:rFonts w:eastAsia="Calibri" w:cs="Arial"/>
          <w:sz w:val="20"/>
          <w:szCs w:val="20"/>
        </w:rPr>
        <w:t>No changing places / dignity suite provided;</w:t>
      </w:r>
    </w:p>
    <w:p w:rsidR="001A6445" w:rsidRDefault="001A6445" w:rsidP="00B8621B">
      <w:pPr>
        <w:numPr>
          <w:ilvl w:val="0"/>
          <w:numId w:val="15"/>
        </w:numPr>
        <w:rPr>
          <w:rFonts w:eastAsia="Calibri" w:cs="Arial"/>
          <w:sz w:val="20"/>
          <w:szCs w:val="20"/>
        </w:rPr>
      </w:pPr>
      <w:r>
        <w:rPr>
          <w:rFonts w:eastAsia="Calibri" w:cs="Arial"/>
          <w:sz w:val="20"/>
          <w:szCs w:val="20"/>
        </w:rPr>
        <w:t>Navigation hub reduced in size;</w:t>
      </w:r>
    </w:p>
    <w:p w:rsidR="001A6445" w:rsidRDefault="001A6445" w:rsidP="00B8621B">
      <w:pPr>
        <w:numPr>
          <w:ilvl w:val="0"/>
          <w:numId w:val="15"/>
        </w:numPr>
        <w:rPr>
          <w:rFonts w:eastAsia="Calibri" w:cs="Arial"/>
          <w:sz w:val="20"/>
          <w:szCs w:val="20"/>
        </w:rPr>
      </w:pPr>
      <w:r>
        <w:rPr>
          <w:rFonts w:eastAsia="Calibri" w:cs="Arial"/>
          <w:sz w:val="20"/>
          <w:szCs w:val="20"/>
        </w:rPr>
        <w:t>UTC minors / C/E rooms reduced in number from 15 to 10;</w:t>
      </w:r>
    </w:p>
    <w:p w:rsidR="001A6445" w:rsidRDefault="001A6445" w:rsidP="00B8621B">
      <w:pPr>
        <w:numPr>
          <w:ilvl w:val="0"/>
          <w:numId w:val="15"/>
        </w:numPr>
        <w:rPr>
          <w:rFonts w:eastAsia="Calibri" w:cs="Arial"/>
          <w:sz w:val="20"/>
          <w:szCs w:val="20"/>
        </w:rPr>
      </w:pPr>
      <w:r>
        <w:rPr>
          <w:rFonts w:eastAsia="Calibri" w:cs="Arial"/>
          <w:sz w:val="20"/>
          <w:szCs w:val="20"/>
        </w:rPr>
        <w:t>1no. patient accessible WC lost in FAU area;</w:t>
      </w:r>
    </w:p>
    <w:p w:rsidR="001A6445" w:rsidRDefault="001A6445" w:rsidP="00B8621B">
      <w:pPr>
        <w:numPr>
          <w:ilvl w:val="0"/>
          <w:numId w:val="15"/>
        </w:numPr>
        <w:rPr>
          <w:rFonts w:eastAsia="Calibri" w:cs="Arial"/>
          <w:sz w:val="20"/>
          <w:szCs w:val="20"/>
        </w:rPr>
      </w:pPr>
      <w:r>
        <w:rPr>
          <w:rFonts w:eastAsia="Calibri" w:cs="Arial"/>
          <w:sz w:val="20"/>
          <w:szCs w:val="20"/>
        </w:rPr>
        <w:t>Clean and Dirty Utility facilities lost from FAU area;</w:t>
      </w:r>
    </w:p>
    <w:p w:rsidR="001A6445" w:rsidRDefault="001A6445" w:rsidP="00B8621B">
      <w:pPr>
        <w:numPr>
          <w:ilvl w:val="0"/>
          <w:numId w:val="15"/>
        </w:numPr>
        <w:rPr>
          <w:rFonts w:eastAsia="Calibri" w:cs="Arial"/>
          <w:sz w:val="20"/>
          <w:szCs w:val="20"/>
        </w:rPr>
      </w:pPr>
      <w:r>
        <w:rPr>
          <w:rFonts w:eastAsia="Calibri" w:cs="Arial"/>
          <w:sz w:val="20"/>
          <w:szCs w:val="20"/>
        </w:rPr>
        <w:t>ED staff beverage facility omitted;</w:t>
      </w:r>
    </w:p>
    <w:p w:rsidR="001A6445" w:rsidRDefault="001A6445" w:rsidP="00B8621B">
      <w:pPr>
        <w:numPr>
          <w:ilvl w:val="0"/>
          <w:numId w:val="15"/>
        </w:numPr>
        <w:rPr>
          <w:rFonts w:eastAsia="Calibri" w:cs="Arial"/>
          <w:sz w:val="20"/>
          <w:szCs w:val="20"/>
        </w:rPr>
      </w:pPr>
      <w:r>
        <w:rPr>
          <w:rFonts w:eastAsia="Calibri" w:cs="Arial"/>
          <w:sz w:val="20"/>
          <w:szCs w:val="20"/>
        </w:rPr>
        <w:t>1no. patient accessible WC lost in ED area;</w:t>
      </w:r>
    </w:p>
    <w:p w:rsidR="001A6445" w:rsidRDefault="001A6445" w:rsidP="00B8621B">
      <w:pPr>
        <w:numPr>
          <w:ilvl w:val="0"/>
          <w:numId w:val="15"/>
        </w:numPr>
        <w:rPr>
          <w:rFonts w:eastAsia="Calibri" w:cs="Arial"/>
          <w:sz w:val="20"/>
          <w:szCs w:val="20"/>
        </w:rPr>
      </w:pPr>
      <w:r>
        <w:rPr>
          <w:rFonts w:eastAsia="Calibri" w:cs="Arial"/>
          <w:sz w:val="20"/>
          <w:szCs w:val="20"/>
        </w:rPr>
        <w:t>UTC storage reduced in area;</w:t>
      </w:r>
    </w:p>
    <w:p w:rsidR="001A6445" w:rsidRDefault="001A6445" w:rsidP="00B8621B">
      <w:pPr>
        <w:numPr>
          <w:ilvl w:val="0"/>
          <w:numId w:val="15"/>
        </w:numPr>
        <w:rPr>
          <w:rFonts w:eastAsia="Calibri" w:cs="Arial"/>
          <w:sz w:val="20"/>
          <w:szCs w:val="20"/>
        </w:rPr>
      </w:pPr>
      <w:r>
        <w:rPr>
          <w:rFonts w:eastAsia="Calibri" w:cs="Arial"/>
          <w:sz w:val="20"/>
          <w:szCs w:val="20"/>
        </w:rPr>
        <w:t>1no. fit-to-sit space lost in UTC (reduction 16 to 15);</w:t>
      </w:r>
    </w:p>
    <w:p w:rsidR="001A6445" w:rsidRDefault="001A6445" w:rsidP="00B8621B">
      <w:pPr>
        <w:numPr>
          <w:ilvl w:val="0"/>
          <w:numId w:val="15"/>
        </w:numPr>
        <w:rPr>
          <w:rFonts w:eastAsia="Calibri" w:cs="Arial"/>
          <w:sz w:val="20"/>
          <w:szCs w:val="20"/>
        </w:rPr>
      </w:pPr>
      <w:proofErr w:type="spellStart"/>
      <w:r>
        <w:rPr>
          <w:rFonts w:eastAsia="Calibri" w:cs="Arial"/>
          <w:sz w:val="20"/>
          <w:szCs w:val="20"/>
        </w:rPr>
        <w:t>Resus</w:t>
      </w:r>
      <w:proofErr w:type="spellEnd"/>
      <w:r>
        <w:rPr>
          <w:rFonts w:eastAsia="Calibri" w:cs="Arial"/>
          <w:sz w:val="20"/>
          <w:szCs w:val="20"/>
        </w:rPr>
        <w:t xml:space="preserve"> facility has 6 dedicated bays but does not have the additional 3 </w:t>
      </w:r>
      <w:proofErr w:type="spellStart"/>
      <w:r>
        <w:rPr>
          <w:rFonts w:eastAsia="Calibri" w:cs="Arial"/>
          <w:sz w:val="20"/>
          <w:szCs w:val="20"/>
        </w:rPr>
        <w:t>resus</w:t>
      </w:r>
      <w:proofErr w:type="spellEnd"/>
      <w:r>
        <w:rPr>
          <w:rFonts w:eastAsia="Calibri" w:cs="Arial"/>
          <w:sz w:val="20"/>
          <w:szCs w:val="20"/>
        </w:rPr>
        <w:t xml:space="preserve"> capable bays located remotely within UTC to allow operation of </w:t>
      </w:r>
      <w:proofErr w:type="spellStart"/>
      <w:r>
        <w:rPr>
          <w:rFonts w:eastAsia="Calibri" w:cs="Arial"/>
          <w:sz w:val="20"/>
          <w:szCs w:val="20"/>
        </w:rPr>
        <w:t>resus</w:t>
      </w:r>
      <w:proofErr w:type="spellEnd"/>
      <w:r>
        <w:rPr>
          <w:rFonts w:eastAsia="Calibri" w:cs="Arial"/>
          <w:sz w:val="20"/>
          <w:szCs w:val="20"/>
        </w:rPr>
        <w:t xml:space="preserve"> if main </w:t>
      </w:r>
      <w:proofErr w:type="spellStart"/>
      <w:r>
        <w:rPr>
          <w:rFonts w:eastAsia="Calibri" w:cs="Arial"/>
          <w:sz w:val="20"/>
          <w:szCs w:val="20"/>
        </w:rPr>
        <w:t>resus</w:t>
      </w:r>
      <w:proofErr w:type="spellEnd"/>
      <w:r>
        <w:rPr>
          <w:rFonts w:eastAsia="Calibri" w:cs="Arial"/>
          <w:sz w:val="20"/>
          <w:szCs w:val="20"/>
        </w:rPr>
        <w:t xml:space="preserve"> block is infected;</w:t>
      </w:r>
    </w:p>
    <w:p w:rsidR="001A6445" w:rsidRDefault="001A6445" w:rsidP="00B8621B">
      <w:pPr>
        <w:numPr>
          <w:ilvl w:val="0"/>
          <w:numId w:val="15"/>
        </w:numPr>
        <w:rPr>
          <w:rFonts w:eastAsia="Calibri" w:cs="Arial"/>
          <w:sz w:val="20"/>
          <w:szCs w:val="20"/>
        </w:rPr>
      </w:pPr>
      <w:r>
        <w:rPr>
          <w:rFonts w:eastAsia="Calibri" w:cs="Arial"/>
          <w:sz w:val="20"/>
          <w:szCs w:val="20"/>
        </w:rPr>
        <w:t xml:space="preserve">No bereavement suite provided to </w:t>
      </w:r>
      <w:proofErr w:type="spellStart"/>
      <w:r>
        <w:rPr>
          <w:rFonts w:eastAsia="Calibri" w:cs="Arial"/>
          <w:sz w:val="20"/>
          <w:szCs w:val="20"/>
        </w:rPr>
        <w:t>Resus</w:t>
      </w:r>
      <w:proofErr w:type="spellEnd"/>
      <w:r>
        <w:rPr>
          <w:rFonts w:eastAsia="Calibri" w:cs="Arial"/>
          <w:sz w:val="20"/>
          <w:szCs w:val="20"/>
        </w:rPr>
        <w:t>;</w:t>
      </w:r>
    </w:p>
    <w:p w:rsidR="001A6445" w:rsidRDefault="001A6445" w:rsidP="00B8621B">
      <w:pPr>
        <w:numPr>
          <w:ilvl w:val="0"/>
          <w:numId w:val="15"/>
        </w:numPr>
        <w:rPr>
          <w:rFonts w:eastAsia="Calibri" w:cs="Arial"/>
          <w:sz w:val="20"/>
          <w:szCs w:val="20"/>
        </w:rPr>
      </w:pPr>
      <w:r>
        <w:rPr>
          <w:rFonts w:eastAsia="Calibri" w:cs="Arial"/>
          <w:sz w:val="20"/>
          <w:szCs w:val="20"/>
        </w:rPr>
        <w:t>GFL local staff facilities more remote;</w:t>
      </w:r>
    </w:p>
    <w:p w:rsidR="001A6445" w:rsidRDefault="001A6445" w:rsidP="00B8621B">
      <w:pPr>
        <w:numPr>
          <w:ilvl w:val="0"/>
          <w:numId w:val="15"/>
        </w:numPr>
        <w:rPr>
          <w:rFonts w:eastAsia="Calibri" w:cs="Arial"/>
          <w:sz w:val="20"/>
          <w:szCs w:val="20"/>
        </w:rPr>
      </w:pPr>
      <w:r>
        <w:rPr>
          <w:rFonts w:eastAsia="Calibri" w:cs="Arial"/>
          <w:sz w:val="20"/>
          <w:szCs w:val="20"/>
        </w:rPr>
        <w:t>Reduced trolley space achieved at ambulance entrance;</w:t>
      </w:r>
    </w:p>
    <w:p w:rsidR="001A6445" w:rsidRDefault="001A6445" w:rsidP="00B8621B">
      <w:pPr>
        <w:numPr>
          <w:ilvl w:val="0"/>
          <w:numId w:val="15"/>
        </w:numPr>
        <w:rPr>
          <w:rFonts w:eastAsia="Calibri" w:cs="Arial"/>
          <w:sz w:val="20"/>
          <w:szCs w:val="20"/>
        </w:rPr>
      </w:pPr>
      <w:r>
        <w:rPr>
          <w:rFonts w:eastAsia="Calibri" w:cs="Arial"/>
          <w:sz w:val="20"/>
          <w:szCs w:val="20"/>
        </w:rPr>
        <w:t>CT Scanner omitted;</w:t>
      </w:r>
    </w:p>
    <w:p w:rsidR="001A6445" w:rsidRDefault="001A6445" w:rsidP="00B8621B">
      <w:pPr>
        <w:numPr>
          <w:ilvl w:val="0"/>
          <w:numId w:val="15"/>
        </w:numPr>
        <w:rPr>
          <w:rFonts w:eastAsia="Calibri" w:cs="Arial"/>
          <w:sz w:val="20"/>
          <w:szCs w:val="20"/>
        </w:rPr>
      </w:pPr>
      <w:r>
        <w:rPr>
          <w:rFonts w:eastAsia="Calibri" w:cs="Arial"/>
          <w:sz w:val="20"/>
          <w:szCs w:val="20"/>
        </w:rPr>
        <w:t>Psychiatric provision reduced by one room;</w:t>
      </w:r>
    </w:p>
    <w:p w:rsidR="001A6445" w:rsidRDefault="001A6445" w:rsidP="00B8621B">
      <w:pPr>
        <w:numPr>
          <w:ilvl w:val="0"/>
          <w:numId w:val="15"/>
        </w:numPr>
        <w:rPr>
          <w:rFonts w:eastAsia="Calibri" w:cs="Arial"/>
          <w:sz w:val="20"/>
          <w:szCs w:val="20"/>
        </w:rPr>
      </w:pPr>
      <w:r>
        <w:rPr>
          <w:rFonts w:eastAsia="Calibri" w:cs="Arial"/>
          <w:sz w:val="20"/>
          <w:szCs w:val="20"/>
        </w:rPr>
        <w:t>Staff changing rooms reduced in area;</w:t>
      </w:r>
    </w:p>
    <w:p w:rsidR="001A6445" w:rsidRDefault="001A6445" w:rsidP="00B8621B">
      <w:pPr>
        <w:numPr>
          <w:ilvl w:val="0"/>
          <w:numId w:val="15"/>
        </w:numPr>
        <w:rPr>
          <w:rFonts w:eastAsia="Calibri" w:cs="Arial"/>
          <w:sz w:val="20"/>
          <w:szCs w:val="20"/>
        </w:rPr>
      </w:pPr>
      <w:r>
        <w:rPr>
          <w:rFonts w:eastAsia="Calibri" w:cs="Arial"/>
          <w:sz w:val="20"/>
          <w:szCs w:val="20"/>
        </w:rPr>
        <w:t>Training rooms stores reduced in size;</w:t>
      </w:r>
    </w:p>
    <w:p w:rsidR="001A6445" w:rsidRDefault="001A6445" w:rsidP="00B8621B">
      <w:pPr>
        <w:numPr>
          <w:ilvl w:val="0"/>
          <w:numId w:val="15"/>
        </w:numPr>
        <w:rPr>
          <w:rFonts w:eastAsia="Calibri" w:cs="Arial"/>
          <w:sz w:val="20"/>
          <w:szCs w:val="20"/>
        </w:rPr>
      </w:pPr>
      <w:r>
        <w:rPr>
          <w:rFonts w:eastAsia="Calibri" w:cs="Arial"/>
          <w:sz w:val="20"/>
          <w:szCs w:val="20"/>
        </w:rPr>
        <w:t>Offices located further away from ED (though closer to UTC);</w:t>
      </w:r>
    </w:p>
    <w:p w:rsidR="001A6445" w:rsidRDefault="001A6445" w:rsidP="00B8621B">
      <w:pPr>
        <w:numPr>
          <w:ilvl w:val="0"/>
          <w:numId w:val="15"/>
        </w:numPr>
        <w:rPr>
          <w:rFonts w:eastAsia="Calibri" w:cs="Arial"/>
          <w:sz w:val="20"/>
          <w:szCs w:val="20"/>
        </w:rPr>
      </w:pPr>
      <w:r>
        <w:rPr>
          <w:rFonts w:eastAsia="Calibri" w:cs="Arial"/>
          <w:sz w:val="20"/>
          <w:szCs w:val="20"/>
        </w:rPr>
        <w:t>General storage reduced from 184m2 to 42m2;</w:t>
      </w:r>
    </w:p>
    <w:p w:rsidR="001A6445" w:rsidRDefault="001A6445" w:rsidP="00B8621B">
      <w:pPr>
        <w:numPr>
          <w:ilvl w:val="0"/>
          <w:numId w:val="15"/>
        </w:numPr>
        <w:rPr>
          <w:rFonts w:eastAsia="Calibri" w:cs="Arial"/>
          <w:sz w:val="20"/>
          <w:szCs w:val="20"/>
        </w:rPr>
      </w:pPr>
      <w:r>
        <w:rPr>
          <w:rFonts w:eastAsia="Calibri" w:cs="Arial"/>
          <w:sz w:val="20"/>
          <w:szCs w:val="20"/>
        </w:rPr>
        <w:lastRenderedPageBreak/>
        <w:t xml:space="preserve">Communication path between </w:t>
      </w:r>
      <w:proofErr w:type="spellStart"/>
      <w:r>
        <w:rPr>
          <w:rFonts w:eastAsia="Calibri" w:cs="Arial"/>
          <w:sz w:val="20"/>
          <w:szCs w:val="20"/>
        </w:rPr>
        <w:t>resus</w:t>
      </w:r>
      <w:proofErr w:type="spellEnd"/>
      <w:r>
        <w:rPr>
          <w:rFonts w:eastAsia="Calibri" w:cs="Arial"/>
          <w:sz w:val="20"/>
          <w:szCs w:val="20"/>
        </w:rPr>
        <w:t xml:space="preserve"> and ED requires staff to travel through UTC to reach it;</w:t>
      </w:r>
    </w:p>
    <w:p w:rsidR="001A6445" w:rsidRDefault="001A6445" w:rsidP="00B8621B">
      <w:pPr>
        <w:numPr>
          <w:ilvl w:val="0"/>
          <w:numId w:val="15"/>
        </w:numPr>
        <w:spacing w:after="160" w:line="256" w:lineRule="auto"/>
        <w:contextualSpacing/>
        <w:rPr>
          <w:rFonts w:eastAsia="Calibri" w:cs="Arial"/>
          <w:sz w:val="20"/>
          <w:szCs w:val="20"/>
        </w:rPr>
      </w:pPr>
      <w:r>
        <w:rPr>
          <w:rFonts w:eastAsia="Calibri" w:cs="Arial"/>
          <w:sz w:val="20"/>
          <w:szCs w:val="20"/>
        </w:rPr>
        <w:t>Very little storage for ED stock – would need to find alternative space or reduce office space;</w:t>
      </w:r>
    </w:p>
    <w:p w:rsidR="001A6445" w:rsidRDefault="001A6445" w:rsidP="00B8621B">
      <w:pPr>
        <w:numPr>
          <w:ilvl w:val="0"/>
          <w:numId w:val="15"/>
        </w:numPr>
        <w:spacing w:after="160" w:line="256" w:lineRule="auto"/>
        <w:contextualSpacing/>
        <w:rPr>
          <w:rFonts w:eastAsia="Calibri" w:cs="Arial"/>
          <w:sz w:val="20"/>
          <w:szCs w:val="20"/>
        </w:rPr>
      </w:pPr>
      <w:r>
        <w:rPr>
          <w:rFonts w:eastAsia="Calibri" w:cs="Arial"/>
          <w:sz w:val="20"/>
          <w:szCs w:val="20"/>
        </w:rPr>
        <w:t>Existing staff from the H Block need to be accommodated in alternative space – plans include c1.2M for expansion of OP’s or portable buildings.</w:t>
      </w:r>
    </w:p>
    <w:p w:rsidR="001A6445" w:rsidRDefault="001A6445" w:rsidP="00B8621B">
      <w:pPr>
        <w:numPr>
          <w:ilvl w:val="0"/>
          <w:numId w:val="15"/>
        </w:numPr>
        <w:spacing w:after="160" w:line="256" w:lineRule="auto"/>
        <w:contextualSpacing/>
        <w:rPr>
          <w:rFonts w:eastAsia="Calibri" w:cs="Arial"/>
          <w:sz w:val="20"/>
          <w:szCs w:val="20"/>
        </w:rPr>
      </w:pPr>
    </w:p>
    <w:p w:rsidR="001A6445" w:rsidRDefault="001A6445" w:rsidP="002F6011">
      <w:r>
        <w:t>High Level Overview of Options:</w:t>
      </w:r>
    </w:p>
    <w:p w:rsidR="001A6445" w:rsidRDefault="001A6445" w:rsidP="001A6445">
      <w:pPr>
        <w:rPr>
          <w:sz w:val="20"/>
          <w:szCs w:val="20"/>
        </w:rPr>
      </w:pPr>
    </w:p>
    <w:p w:rsidR="001A6445" w:rsidRDefault="001A6445" w:rsidP="001A6445">
      <w:pPr>
        <w:rPr>
          <w:sz w:val="20"/>
          <w:szCs w:val="20"/>
        </w:rPr>
      </w:pPr>
      <w:r>
        <w:rPr>
          <w:sz w:val="20"/>
          <w:szCs w:val="20"/>
        </w:rPr>
        <w:t xml:space="preserve">This is a brief clinical overview and does not contain all of the issues such as reduction in clean / dirty utilities, WC’s, staff rooms etc.  Discussions continue with LPFT regarding provision of S136 areas, but their current strategy is to remove these from ED with dedicated facilities being opened on an adjacent site within the next 1-2 years.  </w:t>
      </w:r>
    </w:p>
    <w:p w:rsidR="001A6445" w:rsidRDefault="001A6445" w:rsidP="001A6445">
      <w:pPr>
        <w:rPr>
          <w:sz w:val="20"/>
          <w:szCs w:val="20"/>
        </w:rPr>
      </w:pPr>
    </w:p>
    <w:p w:rsidR="001A6445" w:rsidRDefault="001A6445" w:rsidP="001A6445">
      <w:pPr>
        <w:rPr>
          <w:sz w:val="20"/>
          <w:szCs w:val="20"/>
        </w:rPr>
      </w:pPr>
      <w:r>
        <w:rPr>
          <w:noProof/>
          <w:lang w:eastAsia="en-GB"/>
        </w:rPr>
        <w:drawing>
          <wp:inline distT="0" distB="0" distL="0" distR="0">
            <wp:extent cx="5734050" cy="60293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4050" cy="6029325"/>
                    </a:xfrm>
                    <a:prstGeom prst="rect">
                      <a:avLst/>
                    </a:prstGeom>
                    <a:noFill/>
                    <a:ln>
                      <a:noFill/>
                    </a:ln>
                  </pic:spPr>
                </pic:pic>
              </a:graphicData>
            </a:graphic>
          </wp:inline>
        </w:drawing>
      </w:r>
    </w:p>
    <w:p w:rsidR="001A6445" w:rsidRDefault="001A6445" w:rsidP="001A6445">
      <w:pPr>
        <w:rPr>
          <w:rFonts w:cs="Arial"/>
          <w:sz w:val="20"/>
          <w:szCs w:val="20"/>
        </w:rPr>
      </w:pPr>
    </w:p>
    <w:p w:rsidR="001A6445" w:rsidRDefault="001A6445" w:rsidP="001A6445">
      <w:pPr>
        <w:spacing w:after="200" w:line="276" w:lineRule="auto"/>
        <w:rPr>
          <w:rFonts w:cs="Arial"/>
          <w:sz w:val="20"/>
          <w:szCs w:val="20"/>
        </w:rPr>
      </w:pPr>
      <w:r>
        <w:rPr>
          <w:rFonts w:cs="Arial"/>
          <w:sz w:val="20"/>
          <w:szCs w:val="20"/>
        </w:rPr>
        <w:br w:type="page"/>
      </w:r>
    </w:p>
    <w:p w:rsidR="001A6445" w:rsidRDefault="001A6445" w:rsidP="002F6011">
      <w:r>
        <w:lastRenderedPageBreak/>
        <w:t>Investment Appraisal</w:t>
      </w:r>
    </w:p>
    <w:p w:rsidR="001A6445" w:rsidRDefault="001A6445" w:rsidP="001A6445">
      <w:pPr>
        <w:rPr>
          <w:sz w:val="20"/>
          <w:szCs w:val="20"/>
        </w:rPr>
      </w:pPr>
    </w:p>
    <w:p w:rsidR="001A6445" w:rsidRDefault="001A6445" w:rsidP="001A6445">
      <w:r>
        <w:rPr>
          <w:sz w:val="20"/>
          <w:szCs w:val="20"/>
        </w:rPr>
        <w:t>The full workings of the CIA model for the 4 options are available on request.</w:t>
      </w:r>
    </w:p>
    <w:p w:rsidR="001A6445" w:rsidRDefault="001A6445" w:rsidP="001A6445">
      <w:pPr>
        <w:rPr>
          <w:sz w:val="20"/>
          <w:szCs w:val="20"/>
        </w:rPr>
      </w:pPr>
    </w:p>
    <w:p w:rsidR="001A6445" w:rsidRDefault="001A6445" w:rsidP="001A6445">
      <w:pPr>
        <w:rPr>
          <w:sz w:val="20"/>
          <w:szCs w:val="20"/>
        </w:rPr>
      </w:pPr>
      <w:r>
        <w:rPr>
          <w:sz w:val="20"/>
          <w:szCs w:val="20"/>
        </w:rPr>
        <w:t>Note:</w:t>
      </w:r>
    </w:p>
    <w:p w:rsidR="001A6445" w:rsidRDefault="001A6445" w:rsidP="00B8621B">
      <w:pPr>
        <w:pStyle w:val="ListParagraph"/>
        <w:numPr>
          <w:ilvl w:val="0"/>
          <w:numId w:val="16"/>
        </w:numPr>
        <w:rPr>
          <w:sz w:val="20"/>
          <w:szCs w:val="20"/>
        </w:rPr>
      </w:pPr>
      <w:r>
        <w:rPr>
          <w:sz w:val="20"/>
          <w:szCs w:val="20"/>
        </w:rPr>
        <w:t>Calculations for Optimism Bias were omitted from the model as per the instructions as this has been calculated at 24% for each option based on Green Book recommendations by the Trusts cost advisors in establishing the capital cost;</w:t>
      </w:r>
    </w:p>
    <w:p w:rsidR="001A6445" w:rsidRDefault="001A6445" w:rsidP="00B8621B">
      <w:pPr>
        <w:pStyle w:val="ListParagraph"/>
        <w:numPr>
          <w:ilvl w:val="0"/>
          <w:numId w:val="16"/>
        </w:numPr>
        <w:rPr>
          <w:sz w:val="20"/>
          <w:szCs w:val="20"/>
        </w:rPr>
      </w:pPr>
      <w:r>
        <w:rPr>
          <w:sz w:val="20"/>
          <w:szCs w:val="20"/>
        </w:rPr>
        <w:t>The incremental costs within the following Economic Summary include revenue costs for building maintenance and equipment replacement at 10 years, over a 30 year building life, as well as the capital sum.</w:t>
      </w:r>
    </w:p>
    <w:p w:rsidR="001A6445" w:rsidRDefault="001A6445" w:rsidP="001A6445">
      <w:pPr>
        <w:rPr>
          <w:sz w:val="20"/>
          <w:szCs w:val="20"/>
        </w:rPr>
      </w:pPr>
    </w:p>
    <w:p w:rsidR="001A6445" w:rsidRDefault="001A6445" w:rsidP="001A6445">
      <w:pPr>
        <w:rPr>
          <w:sz w:val="20"/>
          <w:szCs w:val="20"/>
        </w:rPr>
      </w:pPr>
    </w:p>
    <w:tbl>
      <w:tblPr>
        <w:tblW w:w="0" w:type="auto"/>
        <w:tblLook w:val="04A0" w:firstRow="1" w:lastRow="0" w:firstColumn="1" w:lastColumn="0" w:noHBand="0" w:noVBand="1"/>
      </w:tblPr>
      <w:tblGrid>
        <w:gridCol w:w="3838"/>
        <w:gridCol w:w="1277"/>
        <w:gridCol w:w="1275"/>
        <w:gridCol w:w="1329"/>
        <w:gridCol w:w="1302"/>
      </w:tblGrid>
      <w:tr w:rsidR="001A6445" w:rsidTr="001A6445">
        <w:trPr>
          <w:trHeight w:val="290"/>
        </w:trPr>
        <w:tc>
          <w:tcPr>
            <w:tcW w:w="0" w:type="auto"/>
            <w:tcBorders>
              <w:top w:val="single" w:sz="4" w:space="0" w:color="auto"/>
              <w:left w:val="single" w:sz="4" w:space="0" w:color="auto"/>
              <w:bottom w:val="nil"/>
              <w:right w:val="nil"/>
            </w:tcBorders>
            <w:shd w:val="clear" w:color="auto" w:fill="000080"/>
            <w:noWrap/>
            <w:hideMark/>
          </w:tcPr>
          <w:p w:rsidR="001A6445" w:rsidRDefault="001A6445">
            <w:pPr>
              <w:spacing w:line="276" w:lineRule="auto"/>
              <w:rPr>
                <w:rFonts w:eastAsia="Times New Roman" w:cs="Arial"/>
                <w:b/>
                <w:bCs/>
                <w:color w:val="FFFFFF"/>
                <w:sz w:val="18"/>
                <w:szCs w:val="18"/>
                <w:lang w:eastAsia="en-GB"/>
              </w:rPr>
            </w:pPr>
            <w:r>
              <w:rPr>
                <w:rFonts w:eastAsia="Times New Roman" w:cs="Arial"/>
                <w:b/>
                <w:bCs/>
                <w:color w:val="FFFFFF"/>
                <w:sz w:val="18"/>
                <w:szCs w:val="18"/>
                <w:lang w:eastAsia="en-GB"/>
              </w:rPr>
              <w:t>Economic Summary (Discounted) - £'000</w:t>
            </w:r>
          </w:p>
        </w:tc>
        <w:tc>
          <w:tcPr>
            <w:tcW w:w="0" w:type="auto"/>
            <w:tcBorders>
              <w:top w:val="single" w:sz="4" w:space="0" w:color="auto"/>
              <w:left w:val="nil"/>
              <w:bottom w:val="nil"/>
              <w:right w:val="nil"/>
            </w:tcBorders>
            <w:shd w:val="clear" w:color="auto" w:fill="000080"/>
            <w:noWrap/>
            <w:hideMark/>
          </w:tcPr>
          <w:p w:rsidR="001A6445" w:rsidRDefault="001A6445">
            <w:pPr>
              <w:spacing w:line="276" w:lineRule="auto"/>
              <w:rPr>
                <w:rFonts w:eastAsia="Times New Roman" w:cs="Arial"/>
                <w:b/>
                <w:bCs/>
                <w:color w:val="FFFFFF"/>
                <w:sz w:val="18"/>
                <w:szCs w:val="18"/>
                <w:lang w:eastAsia="en-GB"/>
              </w:rPr>
            </w:pPr>
            <w:r>
              <w:rPr>
                <w:rFonts w:eastAsia="Times New Roman" w:cs="Arial"/>
                <w:b/>
                <w:bCs/>
                <w:color w:val="FFFFFF"/>
                <w:sz w:val="18"/>
                <w:szCs w:val="18"/>
                <w:lang w:eastAsia="en-GB"/>
              </w:rPr>
              <w:t> </w:t>
            </w:r>
          </w:p>
        </w:tc>
        <w:tc>
          <w:tcPr>
            <w:tcW w:w="0" w:type="auto"/>
            <w:tcBorders>
              <w:top w:val="single" w:sz="4" w:space="0" w:color="auto"/>
              <w:left w:val="nil"/>
              <w:bottom w:val="nil"/>
              <w:right w:val="nil"/>
            </w:tcBorders>
            <w:shd w:val="clear" w:color="auto" w:fill="000080"/>
            <w:noWrap/>
            <w:hideMark/>
          </w:tcPr>
          <w:p w:rsidR="001A6445" w:rsidRDefault="001A6445">
            <w:pPr>
              <w:spacing w:line="276" w:lineRule="auto"/>
              <w:rPr>
                <w:rFonts w:eastAsia="Times New Roman" w:cs="Arial"/>
                <w:b/>
                <w:bCs/>
                <w:color w:val="FFFFFF"/>
                <w:sz w:val="18"/>
                <w:szCs w:val="18"/>
                <w:lang w:eastAsia="en-GB"/>
              </w:rPr>
            </w:pPr>
            <w:r>
              <w:rPr>
                <w:rFonts w:eastAsia="Times New Roman" w:cs="Arial"/>
                <w:b/>
                <w:bCs/>
                <w:color w:val="FFFFFF"/>
                <w:sz w:val="18"/>
                <w:szCs w:val="18"/>
                <w:lang w:eastAsia="en-GB"/>
              </w:rPr>
              <w:t> </w:t>
            </w:r>
          </w:p>
        </w:tc>
        <w:tc>
          <w:tcPr>
            <w:tcW w:w="0" w:type="auto"/>
            <w:tcBorders>
              <w:top w:val="single" w:sz="4" w:space="0" w:color="auto"/>
              <w:left w:val="nil"/>
              <w:bottom w:val="nil"/>
              <w:right w:val="nil"/>
            </w:tcBorders>
            <w:shd w:val="clear" w:color="auto" w:fill="000080"/>
            <w:noWrap/>
            <w:hideMark/>
          </w:tcPr>
          <w:p w:rsidR="001A6445" w:rsidRDefault="001A6445">
            <w:pPr>
              <w:spacing w:line="276" w:lineRule="auto"/>
              <w:rPr>
                <w:rFonts w:eastAsia="Times New Roman" w:cs="Arial"/>
                <w:b/>
                <w:bCs/>
                <w:color w:val="FFFFFF"/>
                <w:sz w:val="18"/>
                <w:szCs w:val="18"/>
                <w:lang w:eastAsia="en-GB"/>
              </w:rPr>
            </w:pPr>
            <w:r>
              <w:rPr>
                <w:rFonts w:eastAsia="Times New Roman" w:cs="Arial"/>
                <w:b/>
                <w:bCs/>
                <w:color w:val="FFFFFF"/>
                <w:sz w:val="18"/>
                <w:szCs w:val="18"/>
                <w:lang w:eastAsia="en-GB"/>
              </w:rPr>
              <w:t> </w:t>
            </w:r>
          </w:p>
        </w:tc>
        <w:tc>
          <w:tcPr>
            <w:tcW w:w="0" w:type="auto"/>
            <w:tcBorders>
              <w:top w:val="single" w:sz="4" w:space="0" w:color="auto"/>
              <w:left w:val="nil"/>
              <w:bottom w:val="nil"/>
              <w:right w:val="nil"/>
            </w:tcBorders>
            <w:shd w:val="clear" w:color="auto" w:fill="000080"/>
            <w:noWrap/>
            <w:hideMark/>
          </w:tcPr>
          <w:p w:rsidR="001A6445" w:rsidRDefault="001A6445">
            <w:pPr>
              <w:spacing w:line="276" w:lineRule="auto"/>
              <w:rPr>
                <w:rFonts w:eastAsia="Times New Roman" w:cs="Arial"/>
                <w:b/>
                <w:bCs/>
                <w:color w:val="FFFFFF"/>
                <w:sz w:val="18"/>
                <w:szCs w:val="18"/>
                <w:lang w:eastAsia="en-GB"/>
              </w:rPr>
            </w:pPr>
            <w:r>
              <w:rPr>
                <w:rFonts w:eastAsia="Times New Roman" w:cs="Arial"/>
                <w:b/>
                <w:bCs/>
                <w:color w:val="FFFFFF"/>
                <w:sz w:val="18"/>
                <w:szCs w:val="18"/>
                <w:lang w:eastAsia="en-GB"/>
              </w:rPr>
              <w:t> </w:t>
            </w:r>
          </w:p>
        </w:tc>
      </w:tr>
      <w:tr w:rsidR="001A6445" w:rsidTr="001A6445">
        <w:trPr>
          <w:trHeight w:val="900"/>
        </w:trPr>
        <w:tc>
          <w:tcPr>
            <w:tcW w:w="0" w:type="auto"/>
            <w:tcBorders>
              <w:top w:val="single" w:sz="4" w:space="0" w:color="auto"/>
              <w:left w:val="single" w:sz="4" w:space="0" w:color="auto"/>
              <w:bottom w:val="nil"/>
              <w:right w:val="nil"/>
            </w:tcBorders>
            <w:shd w:val="clear" w:color="auto" w:fill="215967"/>
            <w:vAlign w:val="bottom"/>
            <w:hideMark/>
          </w:tcPr>
          <w:p w:rsidR="001A6445" w:rsidRDefault="001A6445">
            <w:pPr>
              <w:spacing w:line="276" w:lineRule="auto"/>
              <w:jc w:val="center"/>
              <w:rPr>
                <w:rFonts w:eastAsia="Times New Roman" w:cs="Arial"/>
                <w:b/>
                <w:bCs/>
                <w:color w:val="FFFFFF"/>
                <w:sz w:val="18"/>
                <w:szCs w:val="18"/>
                <w:lang w:eastAsia="en-GB"/>
              </w:rPr>
            </w:pPr>
            <w:r>
              <w:rPr>
                <w:rFonts w:eastAsia="Times New Roman" w:cs="Arial"/>
                <w:b/>
                <w:bCs/>
                <w:color w:val="FFFFFF"/>
                <w:sz w:val="18"/>
                <w:szCs w:val="18"/>
                <w:lang w:eastAsia="en-GB"/>
              </w:rPr>
              <w:t> </w:t>
            </w:r>
          </w:p>
        </w:tc>
        <w:tc>
          <w:tcPr>
            <w:tcW w:w="0" w:type="auto"/>
            <w:tcBorders>
              <w:top w:val="single" w:sz="4" w:space="0" w:color="auto"/>
              <w:left w:val="nil"/>
              <w:bottom w:val="nil"/>
              <w:right w:val="single" w:sz="4" w:space="0" w:color="auto"/>
            </w:tcBorders>
            <w:shd w:val="clear" w:color="auto" w:fill="215967"/>
            <w:vAlign w:val="center"/>
            <w:hideMark/>
          </w:tcPr>
          <w:p w:rsidR="001A6445" w:rsidRDefault="001A6445">
            <w:pPr>
              <w:spacing w:line="276" w:lineRule="auto"/>
              <w:jc w:val="center"/>
              <w:rPr>
                <w:rFonts w:eastAsia="Times New Roman" w:cs="Arial"/>
                <w:b/>
                <w:bCs/>
                <w:color w:val="FFFFFF"/>
                <w:sz w:val="18"/>
                <w:szCs w:val="18"/>
                <w:lang w:eastAsia="en-GB"/>
              </w:rPr>
            </w:pPr>
            <w:r>
              <w:rPr>
                <w:rFonts w:eastAsia="Times New Roman" w:cs="Arial"/>
                <w:b/>
                <w:bCs/>
                <w:color w:val="FFFFFF"/>
                <w:sz w:val="18"/>
                <w:szCs w:val="18"/>
                <w:lang w:eastAsia="en-GB"/>
              </w:rPr>
              <w:t>Option 4, PWF+</w:t>
            </w:r>
          </w:p>
        </w:tc>
        <w:tc>
          <w:tcPr>
            <w:tcW w:w="0" w:type="auto"/>
            <w:tcBorders>
              <w:top w:val="single" w:sz="4" w:space="0" w:color="auto"/>
              <w:left w:val="nil"/>
              <w:bottom w:val="nil"/>
              <w:right w:val="single" w:sz="4" w:space="0" w:color="auto"/>
            </w:tcBorders>
            <w:shd w:val="clear" w:color="auto" w:fill="215967"/>
            <w:vAlign w:val="center"/>
            <w:hideMark/>
          </w:tcPr>
          <w:p w:rsidR="001A6445" w:rsidRDefault="001A6445">
            <w:pPr>
              <w:spacing w:line="276" w:lineRule="auto"/>
              <w:jc w:val="center"/>
              <w:rPr>
                <w:rFonts w:eastAsia="Times New Roman" w:cs="Arial"/>
                <w:b/>
                <w:bCs/>
                <w:color w:val="FFFFFF"/>
                <w:sz w:val="18"/>
                <w:szCs w:val="18"/>
                <w:lang w:eastAsia="en-GB"/>
              </w:rPr>
            </w:pPr>
            <w:r>
              <w:rPr>
                <w:rFonts w:eastAsia="Times New Roman" w:cs="Arial"/>
                <w:b/>
                <w:bCs/>
                <w:color w:val="FFFFFF"/>
                <w:sz w:val="18"/>
                <w:szCs w:val="18"/>
                <w:lang w:eastAsia="en-GB"/>
              </w:rPr>
              <w:t>Option 4a, PFW</w:t>
            </w:r>
          </w:p>
        </w:tc>
        <w:tc>
          <w:tcPr>
            <w:tcW w:w="0" w:type="auto"/>
            <w:tcBorders>
              <w:top w:val="single" w:sz="4" w:space="0" w:color="auto"/>
              <w:left w:val="nil"/>
              <w:bottom w:val="nil"/>
              <w:right w:val="single" w:sz="4" w:space="0" w:color="auto"/>
            </w:tcBorders>
            <w:shd w:val="clear" w:color="auto" w:fill="215967"/>
            <w:vAlign w:val="center"/>
            <w:hideMark/>
          </w:tcPr>
          <w:p w:rsidR="001A6445" w:rsidRDefault="001A6445">
            <w:pPr>
              <w:spacing w:line="276" w:lineRule="auto"/>
              <w:jc w:val="center"/>
              <w:rPr>
                <w:rFonts w:eastAsia="Times New Roman" w:cs="Arial"/>
                <w:b/>
                <w:bCs/>
                <w:color w:val="FFFFFF"/>
                <w:sz w:val="18"/>
                <w:szCs w:val="18"/>
                <w:lang w:eastAsia="en-GB"/>
              </w:rPr>
            </w:pPr>
            <w:r>
              <w:rPr>
                <w:rFonts w:eastAsia="Times New Roman" w:cs="Arial"/>
                <w:b/>
                <w:bCs/>
                <w:color w:val="FFFFFF"/>
                <w:sz w:val="18"/>
                <w:szCs w:val="18"/>
                <w:lang w:eastAsia="en-GB"/>
              </w:rPr>
              <w:t>Option 5, Do Less</w:t>
            </w:r>
          </w:p>
        </w:tc>
        <w:tc>
          <w:tcPr>
            <w:tcW w:w="0" w:type="auto"/>
            <w:tcBorders>
              <w:top w:val="single" w:sz="4" w:space="0" w:color="auto"/>
              <w:left w:val="nil"/>
              <w:bottom w:val="nil"/>
              <w:right w:val="single" w:sz="4" w:space="0" w:color="auto"/>
            </w:tcBorders>
            <w:shd w:val="clear" w:color="auto" w:fill="215967"/>
            <w:vAlign w:val="center"/>
            <w:hideMark/>
          </w:tcPr>
          <w:p w:rsidR="001A6445" w:rsidRDefault="001A6445">
            <w:pPr>
              <w:spacing w:line="276" w:lineRule="auto"/>
              <w:jc w:val="center"/>
              <w:rPr>
                <w:rFonts w:eastAsia="Times New Roman" w:cs="Arial"/>
                <w:b/>
                <w:bCs/>
                <w:color w:val="FFFFFF"/>
                <w:sz w:val="18"/>
                <w:szCs w:val="18"/>
                <w:lang w:eastAsia="en-GB"/>
              </w:rPr>
            </w:pPr>
            <w:r>
              <w:rPr>
                <w:rFonts w:eastAsia="Times New Roman" w:cs="Arial"/>
                <w:b/>
                <w:bCs/>
                <w:color w:val="FFFFFF"/>
                <w:sz w:val="18"/>
                <w:szCs w:val="18"/>
                <w:lang w:eastAsia="en-GB"/>
              </w:rPr>
              <w:t>Option 8, Do Min</w:t>
            </w:r>
          </w:p>
        </w:tc>
      </w:tr>
      <w:tr w:rsidR="001A6445" w:rsidTr="001A6445">
        <w:trPr>
          <w:trHeight w:val="290"/>
        </w:trPr>
        <w:tc>
          <w:tcPr>
            <w:tcW w:w="0" w:type="auto"/>
            <w:tcBorders>
              <w:top w:val="single" w:sz="4" w:space="0" w:color="auto"/>
              <w:left w:val="single" w:sz="4" w:space="0" w:color="auto"/>
              <w:bottom w:val="nil"/>
              <w:right w:val="single" w:sz="4" w:space="0" w:color="auto"/>
            </w:tcBorders>
            <w:shd w:val="clear" w:color="auto" w:fill="D9D9D9"/>
            <w:vAlign w:val="center"/>
            <w:hideMark/>
          </w:tcPr>
          <w:p w:rsidR="001A6445" w:rsidRDefault="001A6445">
            <w:pPr>
              <w:spacing w:line="276" w:lineRule="auto"/>
              <w:rPr>
                <w:rFonts w:eastAsia="Times New Roman" w:cs="Arial"/>
                <w:b/>
                <w:bCs/>
                <w:sz w:val="18"/>
                <w:szCs w:val="18"/>
                <w:lang w:eastAsia="en-GB"/>
              </w:rPr>
            </w:pPr>
            <w:r>
              <w:rPr>
                <w:rFonts w:eastAsia="Times New Roman" w:cs="Arial"/>
                <w:b/>
                <w:bCs/>
                <w:sz w:val="18"/>
                <w:szCs w:val="18"/>
                <w:lang w:eastAsia="en-GB"/>
              </w:rPr>
              <w:t>Incremental costs - total</w:t>
            </w:r>
          </w:p>
        </w:tc>
        <w:tc>
          <w:tcPr>
            <w:tcW w:w="0" w:type="auto"/>
            <w:tcBorders>
              <w:top w:val="single" w:sz="4" w:space="0" w:color="auto"/>
              <w:left w:val="nil"/>
              <w:bottom w:val="nil"/>
              <w:right w:val="nil"/>
            </w:tcBorders>
            <w:shd w:val="clear" w:color="auto" w:fill="FFFFCC"/>
            <w:noWrap/>
            <w:vAlign w:val="bottom"/>
            <w:hideMark/>
          </w:tcPr>
          <w:p w:rsidR="001A6445" w:rsidRDefault="001A6445">
            <w:pPr>
              <w:spacing w:line="276" w:lineRule="auto"/>
              <w:jc w:val="right"/>
              <w:rPr>
                <w:rFonts w:eastAsia="Times New Roman" w:cs="Arial"/>
                <w:b/>
                <w:bCs/>
                <w:color w:val="000000"/>
                <w:sz w:val="18"/>
                <w:szCs w:val="18"/>
                <w:lang w:eastAsia="en-GB"/>
              </w:rPr>
            </w:pPr>
            <w:r>
              <w:rPr>
                <w:rFonts w:eastAsia="Times New Roman" w:cs="Arial"/>
                <w:b/>
                <w:bCs/>
                <w:color w:val="FF0000"/>
                <w:sz w:val="18"/>
                <w:szCs w:val="18"/>
                <w:lang w:eastAsia="en-GB"/>
              </w:rPr>
              <w:t>-£56,868.78</w:t>
            </w:r>
          </w:p>
        </w:tc>
        <w:tc>
          <w:tcPr>
            <w:tcW w:w="0" w:type="auto"/>
            <w:tcBorders>
              <w:top w:val="single" w:sz="4" w:space="0" w:color="auto"/>
              <w:left w:val="nil"/>
              <w:bottom w:val="nil"/>
              <w:right w:val="nil"/>
            </w:tcBorders>
            <w:shd w:val="clear" w:color="auto" w:fill="FFFFCC"/>
            <w:noWrap/>
            <w:vAlign w:val="bottom"/>
            <w:hideMark/>
          </w:tcPr>
          <w:p w:rsidR="001A6445" w:rsidRDefault="001A6445">
            <w:pPr>
              <w:spacing w:line="276" w:lineRule="auto"/>
              <w:jc w:val="right"/>
              <w:rPr>
                <w:rFonts w:eastAsia="Times New Roman" w:cs="Arial"/>
                <w:b/>
                <w:bCs/>
                <w:color w:val="000000"/>
                <w:sz w:val="18"/>
                <w:szCs w:val="18"/>
                <w:lang w:eastAsia="en-GB"/>
              </w:rPr>
            </w:pPr>
            <w:r>
              <w:rPr>
                <w:rFonts w:eastAsia="Times New Roman" w:cs="Arial"/>
                <w:b/>
                <w:bCs/>
                <w:color w:val="FF0000"/>
                <w:sz w:val="18"/>
                <w:szCs w:val="18"/>
                <w:lang w:eastAsia="en-GB"/>
              </w:rPr>
              <w:t>-£44,626.06</w:t>
            </w:r>
          </w:p>
        </w:tc>
        <w:tc>
          <w:tcPr>
            <w:tcW w:w="0" w:type="auto"/>
            <w:tcBorders>
              <w:top w:val="single" w:sz="4" w:space="0" w:color="auto"/>
              <w:left w:val="nil"/>
              <w:bottom w:val="nil"/>
              <w:right w:val="nil"/>
            </w:tcBorders>
            <w:shd w:val="clear" w:color="auto" w:fill="FFFFCC"/>
            <w:noWrap/>
            <w:vAlign w:val="bottom"/>
            <w:hideMark/>
          </w:tcPr>
          <w:p w:rsidR="001A6445" w:rsidRDefault="001A6445">
            <w:pPr>
              <w:spacing w:line="276" w:lineRule="auto"/>
              <w:jc w:val="right"/>
              <w:rPr>
                <w:rFonts w:eastAsia="Times New Roman" w:cs="Arial"/>
                <w:b/>
                <w:bCs/>
                <w:color w:val="000000"/>
                <w:sz w:val="18"/>
                <w:szCs w:val="18"/>
                <w:lang w:eastAsia="en-GB"/>
              </w:rPr>
            </w:pPr>
            <w:r>
              <w:rPr>
                <w:rFonts w:eastAsia="Times New Roman" w:cs="Arial"/>
                <w:b/>
                <w:bCs/>
                <w:color w:val="FF0000"/>
                <w:sz w:val="18"/>
                <w:szCs w:val="18"/>
                <w:lang w:eastAsia="en-GB"/>
              </w:rPr>
              <w:t>-£41,366.01</w:t>
            </w:r>
          </w:p>
        </w:tc>
        <w:tc>
          <w:tcPr>
            <w:tcW w:w="0" w:type="auto"/>
            <w:tcBorders>
              <w:top w:val="single" w:sz="4" w:space="0" w:color="auto"/>
              <w:left w:val="nil"/>
              <w:bottom w:val="nil"/>
              <w:right w:val="nil"/>
            </w:tcBorders>
            <w:shd w:val="clear" w:color="auto" w:fill="FFFFCC"/>
            <w:noWrap/>
            <w:vAlign w:val="bottom"/>
            <w:hideMark/>
          </w:tcPr>
          <w:p w:rsidR="001A6445" w:rsidRDefault="001A6445">
            <w:pPr>
              <w:spacing w:line="276" w:lineRule="auto"/>
              <w:jc w:val="right"/>
              <w:rPr>
                <w:rFonts w:eastAsia="Times New Roman" w:cs="Arial"/>
                <w:b/>
                <w:bCs/>
                <w:color w:val="000000"/>
                <w:sz w:val="18"/>
                <w:szCs w:val="18"/>
                <w:lang w:eastAsia="en-GB"/>
              </w:rPr>
            </w:pPr>
            <w:r>
              <w:rPr>
                <w:rFonts w:eastAsia="Times New Roman" w:cs="Arial"/>
                <w:b/>
                <w:bCs/>
                <w:color w:val="FF0000"/>
                <w:sz w:val="18"/>
                <w:szCs w:val="18"/>
                <w:lang w:eastAsia="en-GB"/>
              </w:rPr>
              <w:t>-£38,611.28</w:t>
            </w:r>
          </w:p>
        </w:tc>
      </w:tr>
      <w:tr w:rsidR="001A6445" w:rsidTr="001A6445">
        <w:trPr>
          <w:trHeight w:val="290"/>
        </w:trPr>
        <w:tc>
          <w:tcPr>
            <w:tcW w:w="0" w:type="auto"/>
            <w:tcBorders>
              <w:top w:val="nil"/>
              <w:left w:val="single" w:sz="4" w:space="0" w:color="auto"/>
              <w:bottom w:val="nil"/>
              <w:right w:val="single" w:sz="4" w:space="0" w:color="auto"/>
            </w:tcBorders>
            <w:shd w:val="clear" w:color="auto" w:fill="D9D9D9"/>
            <w:vAlign w:val="center"/>
            <w:hideMark/>
          </w:tcPr>
          <w:p w:rsidR="001A6445" w:rsidRDefault="001A6445">
            <w:pPr>
              <w:spacing w:line="276" w:lineRule="auto"/>
              <w:rPr>
                <w:rFonts w:eastAsia="Times New Roman" w:cs="Arial"/>
                <w:b/>
                <w:bCs/>
                <w:sz w:val="18"/>
                <w:szCs w:val="18"/>
                <w:lang w:eastAsia="en-GB"/>
              </w:rPr>
            </w:pPr>
            <w:r>
              <w:rPr>
                <w:rFonts w:eastAsia="Times New Roman" w:cs="Arial"/>
                <w:b/>
                <w:bCs/>
                <w:sz w:val="18"/>
                <w:szCs w:val="18"/>
                <w:lang w:eastAsia="en-GB"/>
              </w:rPr>
              <w:t>Incremental benefits - total</w:t>
            </w:r>
          </w:p>
        </w:tc>
        <w:tc>
          <w:tcPr>
            <w:tcW w:w="0" w:type="auto"/>
            <w:shd w:val="clear" w:color="auto" w:fill="FFFFCC"/>
            <w:noWrap/>
            <w:vAlign w:val="bottom"/>
            <w:hideMark/>
          </w:tcPr>
          <w:p w:rsidR="001A6445" w:rsidRDefault="001A6445">
            <w:pPr>
              <w:spacing w:line="276" w:lineRule="auto"/>
              <w:jc w:val="right"/>
              <w:rPr>
                <w:rFonts w:eastAsia="Times New Roman" w:cs="Arial"/>
                <w:b/>
                <w:bCs/>
                <w:color w:val="000000"/>
                <w:sz w:val="18"/>
                <w:szCs w:val="18"/>
                <w:lang w:eastAsia="en-GB"/>
              </w:rPr>
            </w:pPr>
            <w:r>
              <w:rPr>
                <w:rFonts w:eastAsia="Times New Roman" w:cs="Arial"/>
                <w:b/>
                <w:bCs/>
                <w:color w:val="000000"/>
                <w:sz w:val="18"/>
                <w:szCs w:val="18"/>
                <w:lang w:eastAsia="en-GB"/>
              </w:rPr>
              <w:t>£65,176.26</w:t>
            </w:r>
          </w:p>
        </w:tc>
        <w:tc>
          <w:tcPr>
            <w:tcW w:w="0" w:type="auto"/>
            <w:shd w:val="clear" w:color="auto" w:fill="FFFFCC"/>
            <w:noWrap/>
            <w:vAlign w:val="bottom"/>
            <w:hideMark/>
          </w:tcPr>
          <w:p w:rsidR="001A6445" w:rsidRDefault="001A6445">
            <w:pPr>
              <w:spacing w:line="276" w:lineRule="auto"/>
              <w:jc w:val="right"/>
              <w:rPr>
                <w:rFonts w:eastAsia="Times New Roman" w:cs="Arial"/>
                <w:b/>
                <w:bCs/>
                <w:color w:val="000000"/>
                <w:sz w:val="18"/>
                <w:szCs w:val="18"/>
                <w:lang w:eastAsia="en-GB"/>
              </w:rPr>
            </w:pPr>
            <w:r>
              <w:rPr>
                <w:rFonts w:eastAsia="Times New Roman" w:cs="Arial"/>
                <w:b/>
                <w:bCs/>
                <w:color w:val="000000"/>
                <w:sz w:val="18"/>
                <w:szCs w:val="18"/>
                <w:lang w:eastAsia="en-GB"/>
              </w:rPr>
              <w:t>£57,873.04</w:t>
            </w:r>
          </w:p>
        </w:tc>
        <w:tc>
          <w:tcPr>
            <w:tcW w:w="0" w:type="auto"/>
            <w:shd w:val="clear" w:color="auto" w:fill="FFFFCC"/>
            <w:noWrap/>
            <w:vAlign w:val="bottom"/>
            <w:hideMark/>
          </w:tcPr>
          <w:p w:rsidR="001A6445" w:rsidRDefault="001A6445">
            <w:pPr>
              <w:spacing w:line="276" w:lineRule="auto"/>
              <w:jc w:val="right"/>
              <w:rPr>
                <w:rFonts w:eastAsia="Times New Roman" w:cs="Arial"/>
                <w:b/>
                <w:bCs/>
                <w:color w:val="000000"/>
                <w:sz w:val="18"/>
                <w:szCs w:val="18"/>
                <w:lang w:eastAsia="en-GB"/>
              </w:rPr>
            </w:pPr>
            <w:r>
              <w:rPr>
                <w:rFonts w:eastAsia="Times New Roman" w:cs="Arial"/>
                <w:b/>
                <w:bCs/>
                <w:color w:val="000000"/>
                <w:sz w:val="18"/>
                <w:szCs w:val="18"/>
                <w:lang w:eastAsia="en-GB"/>
              </w:rPr>
              <w:t>£21,878.49</w:t>
            </w:r>
          </w:p>
        </w:tc>
        <w:tc>
          <w:tcPr>
            <w:tcW w:w="0" w:type="auto"/>
            <w:shd w:val="clear" w:color="auto" w:fill="FFFFCC"/>
            <w:noWrap/>
            <w:vAlign w:val="bottom"/>
            <w:hideMark/>
          </w:tcPr>
          <w:p w:rsidR="001A6445" w:rsidRDefault="001A6445">
            <w:pPr>
              <w:spacing w:line="276" w:lineRule="auto"/>
              <w:jc w:val="right"/>
              <w:rPr>
                <w:rFonts w:eastAsia="Times New Roman" w:cs="Arial"/>
                <w:b/>
                <w:bCs/>
                <w:color w:val="000000"/>
                <w:sz w:val="18"/>
                <w:szCs w:val="18"/>
                <w:lang w:eastAsia="en-GB"/>
              </w:rPr>
            </w:pPr>
            <w:r>
              <w:rPr>
                <w:rFonts w:eastAsia="Times New Roman" w:cs="Arial"/>
                <w:b/>
                <w:bCs/>
                <w:color w:val="000000"/>
                <w:sz w:val="18"/>
                <w:szCs w:val="18"/>
                <w:lang w:eastAsia="en-GB"/>
              </w:rPr>
              <w:t>£14,326.21</w:t>
            </w:r>
          </w:p>
        </w:tc>
      </w:tr>
      <w:tr w:rsidR="001A6445" w:rsidTr="001A6445">
        <w:trPr>
          <w:trHeight w:val="290"/>
        </w:trPr>
        <w:tc>
          <w:tcPr>
            <w:tcW w:w="0" w:type="auto"/>
            <w:tcBorders>
              <w:top w:val="nil"/>
              <w:left w:val="single" w:sz="4" w:space="0" w:color="auto"/>
              <w:bottom w:val="nil"/>
              <w:right w:val="single" w:sz="4" w:space="0" w:color="auto"/>
            </w:tcBorders>
            <w:shd w:val="clear" w:color="auto" w:fill="D9D9D9"/>
            <w:vAlign w:val="center"/>
            <w:hideMark/>
          </w:tcPr>
          <w:p w:rsidR="001A6445" w:rsidRDefault="001A6445">
            <w:pPr>
              <w:spacing w:line="276" w:lineRule="auto"/>
              <w:rPr>
                <w:rFonts w:eastAsia="Times New Roman" w:cs="Arial"/>
                <w:b/>
                <w:bCs/>
                <w:sz w:val="18"/>
                <w:szCs w:val="18"/>
                <w:lang w:eastAsia="en-GB"/>
              </w:rPr>
            </w:pPr>
            <w:r>
              <w:rPr>
                <w:rFonts w:eastAsia="Times New Roman" w:cs="Arial"/>
                <w:b/>
                <w:bCs/>
                <w:sz w:val="18"/>
                <w:szCs w:val="18"/>
                <w:lang w:eastAsia="en-GB"/>
              </w:rPr>
              <w:t>Risk-adjusted Net Present Social Value (NPSV)</w:t>
            </w:r>
          </w:p>
        </w:tc>
        <w:tc>
          <w:tcPr>
            <w:tcW w:w="0" w:type="auto"/>
            <w:shd w:val="clear" w:color="auto" w:fill="FFFFCC"/>
            <w:noWrap/>
            <w:vAlign w:val="bottom"/>
            <w:hideMark/>
          </w:tcPr>
          <w:p w:rsidR="001A6445" w:rsidRDefault="001A6445">
            <w:pPr>
              <w:spacing w:line="276" w:lineRule="auto"/>
              <w:jc w:val="right"/>
              <w:rPr>
                <w:rFonts w:eastAsia="Times New Roman" w:cs="Arial"/>
                <w:b/>
                <w:bCs/>
                <w:color w:val="000000"/>
                <w:sz w:val="18"/>
                <w:szCs w:val="18"/>
                <w:lang w:eastAsia="en-GB"/>
              </w:rPr>
            </w:pPr>
            <w:r>
              <w:rPr>
                <w:rFonts w:eastAsia="Times New Roman" w:cs="Arial"/>
                <w:b/>
                <w:bCs/>
                <w:color w:val="000000"/>
                <w:sz w:val="18"/>
                <w:szCs w:val="18"/>
                <w:lang w:eastAsia="en-GB"/>
              </w:rPr>
              <w:t>£8,307.48</w:t>
            </w:r>
          </w:p>
        </w:tc>
        <w:tc>
          <w:tcPr>
            <w:tcW w:w="0" w:type="auto"/>
            <w:shd w:val="clear" w:color="auto" w:fill="FFFFCC"/>
            <w:noWrap/>
            <w:vAlign w:val="bottom"/>
            <w:hideMark/>
          </w:tcPr>
          <w:p w:rsidR="001A6445" w:rsidRDefault="001A6445">
            <w:pPr>
              <w:spacing w:line="276" w:lineRule="auto"/>
              <w:jc w:val="right"/>
              <w:rPr>
                <w:rFonts w:eastAsia="Times New Roman" w:cs="Arial"/>
                <w:b/>
                <w:bCs/>
                <w:color w:val="000000"/>
                <w:sz w:val="18"/>
                <w:szCs w:val="18"/>
                <w:lang w:eastAsia="en-GB"/>
              </w:rPr>
            </w:pPr>
            <w:r>
              <w:rPr>
                <w:rFonts w:eastAsia="Times New Roman" w:cs="Arial"/>
                <w:b/>
                <w:bCs/>
                <w:color w:val="000000"/>
                <w:sz w:val="18"/>
                <w:szCs w:val="18"/>
                <w:lang w:eastAsia="en-GB"/>
              </w:rPr>
              <w:t>£13,246.98</w:t>
            </w:r>
          </w:p>
        </w:tc>
        <w:tc>
          <w:tcPr>
            <w:tcW w:w="0" w:type="auto"/>
            <w:shd w:val="clear" w:color="auto" w:fill="FFFFCC"/>
            <w:noWrap/>
            <w:vAlign w:val="bottom"/>
            <w:hideMark/>
          </w:tcPr>
          <w:p w:rsidR="001A6445" w:rsidRDefault="001A6445">
            <w:pPr>
              <w:spacing w:line="276" w:lineRule="auto"/>
              <w:jc w:val="right"/>
              <w:rPr>
                <w:rFonts w:eastAsia="Times New Roman" w:cs="Arial"/>
                <w:b/>
                <w:bCs/>
                <w:color w:val="000000"/>
                <w:sz w:val="18"/>
                <w:szCs w:val="18"/>
                <w:lang w:eastAsia="en-GB"/>
              </w:rPr>
            </w:pPr>
            <w:r>
              <w:rPr>
                <w:rFonts w:eastAsia="Times New Roman" w:cs="Arial"/>
                <w:b/>
                <w:bCs/>
                <w:color w:val="FF0000"/>
                <w:sz w:val="18"/>
                <w:szCs w:val="18"/>
                <w:lang w:eastAsia="en-GB"/>
              </w:rPr>
              <w:t>-£19,487.52</w:t>
            </w:r>
          </w:p>
        </w:tc>
        <w:tc>
          <w:tcPr>
            <w:tcW w:w="0" w:type="auto"/>
            <w:shd w:val="clear" w:color="auto" w:fill="FFFFCC"/>
            <w:noWrap/>
            <w:vAlign w:val="bottom"/>
            <w:hideMark/>
          </w:tcPr>
          <w:p w:rsidR="001A6445" w:rsidRDefault="001A6445">
            <w:pPr>
              <w:spacing w:line="276" w:lineRule="auto"/>
              <w:jc w:val="right"/>
              <w:rPr>
                <w:rFonts w:eastAsia="Times New Roman" w:cs="Arial"/>
                <w:b/>
                <w:bCs/>
                <w:color w:val="000000"/>
                <w:sz w:val="18"/>
                <w:szCs w:val="18"/>
                <w:lang w:eastAsia="en-GB"/>
              </w:rPr>
            </w:pPr>
            <w:r>
              <w:rPr>
                <w:rFonts w:eastAsia="Times New Roman" w:cs="Arial"/>
                <w:b/>
                <w:bCs/>
                <w:color w:val="FF0000"/>
                <w:sz w:val="18"/>
                <w:szCs w:val="18"/>
                <w:lang w:eastAsia="en-GB"/>
              </w:rPr>
              <w:t>-£24,285.07</w:t>
            </w:r>
          </w:p>
        </w:tc>
      </w:tr>
      <w:tr w:rsidR="001A6445" w:rsidTr="001A6445">
        <w:trPr>
          <w:trHeight w:val="290"/>
        </w:trPr>
        <w:tc>
          <w:tcPr>
            <w:tcW w:w="0" w:type="auto"/>
            <w:tcBorders>
              <w:top w:val="nil"/>
              <w:left w:val="single" w:sz="4" w:space="0" w:color="auto"/>
              <w:bottom w:val="single" w:sz="4" w:space="0" w:color="auto"/>
              <w:right w:val="single" w:sz="4" w:space="0" w:color="auto"/>
            </w:tcBorders>
            <w:shd w:val="clear" w:color="auto" w:fill="D9D9D9"/>
            <w:vAlign w:val="center"/>
            <w:hideMark/>
          </w:tcPr>
          <w:p w:rsidR="001A6445" w:rsidRDefault="001A6445">
            <w:pPr>
              <w:spacing w:line="276" w:lineRule="auto"/>
              <w:rPr>
                <w:rFonts w:eastAsia="Times New Roman" w:cs="Arial"/>
                <w:b/>
                <w:bCs/>
                <w:sz w:val="18"/>
                <w:szCs w:val="18"/>
                <w:lang w:eastAsia="en-GB"/>
              </w:rPr>
            </w:pPr>
            <w:r>
              <w:rPr>
                <w:rFonts w:eastAsia="Times New Roman" w:cs="Arial"/>
                <w:b/>
                <w:bCs/>
                <w:sz w:val="18"/>
                <w:szCs w:val="18"/>
                <w:lang w:eastAsia="en-GB"/>
              </w:rPr>
              <w:t>Benefit-cost ratio</w:t>
            </w:r>
          </w:p>
        </w:tc>
        <w:tc>
          <w:tcPr>
            <w:tcW w:w="0" w:type="auto"/>
            <w:tcBorders>
              <w:top w:val="nil"/>
              <w:left w:val="nil"/>
              <w:bottom w:val="single" w:sz="4" w:space="0" w:color="auto"/>
              <w:right w:val="nil"/>
            </w:tcBorders>
            <w:shd w:val="clear" w:color="auto" w:fill="FFFFCC"/>
            <w:noWrap/>
            <w:vAlign w:val="bottom"/>
            <w:hideMark/>
          </w:tcPr>
          <w:p w:rsidR="001A6445" w:rsidRDefault="001A6445">
            <w:pPr>
              <w:spacing w:line="276" w:lineRule="auto"/>
              <w:jc w:val="right"/>
              <w:rPr>
                <w:rFonts w:eastAsia="Times New Roman" w:cs="Arial"/>
                <w:b/>
                <w:bCs/>
                <w:color w:val="000000"/>
                <w:sz w:val="18"/>
                <w:szCs w:val="18"/>
                <w:lang w:eastAsia="en-GB"/>
              </w:rPr>
            </w:pPr>
            <w:r>
              <w:rPr>
                <w:rFonts w:eastAsia="Times New Roman" w:cs="Arial"/>
                <w:b/>
                <w:bCs/>
                <w:color w:val="000000"/>
                <w:sz w:val="18"/>
                <w:szCs w:val="18"/>
                <w:lang w:eastAsia="en-GB"/>
              </w:rPr>
              <w:t>1.15</w:t>
            </w:r>
          </w:p>
        </w:tc>
        <w:tc>
          <w:tcPr>
            <w:tcW w:w="0" w:type="auto"/>
            <w:tcBorders>
              <w:top w:val="nil"/>
              <w:left w:val="nil"/>
              <w:bottom w:val="single" w:sz="4" w:space="0" w:color="auto"/>
              <w:right w:val="nil"/>
            </w:tcBorders>
            <w:shd w:val="clear" w:color="auto" w:fill="FFFFCC"/>
            <w:noWrap/>
            <w:vAlign w:val="bottom"/>
            <w:hideMark/>
          </w:tcPr>
          <w:p w:rsidR="001A6445" w:rsidRDefault="001A6445">
            <w:pPr>
              <w:spacing w:line="276" w:lineRule="auto"/>
              <w:jc w:val="right"/>
              <w:rPr>
                <w:rFonts w:eastAsia="Times New Roman" w:cs="Arial"/>
                <w:b/>
                <w:bCs/>
                <w:color w:val="000000"/>
                <w:sz w:val="18"/>
                <w:szCs w:val="18"/>
                <w:lang w:eastAsia="en-GB"/>
              </w:rPr>
            </w:pPr>
            <w:r>
              <w:rPr>
                <w:rFonts w:eastAsia="Times New Roman" w:cs="Arial"/>
                <w:b/>
                <w:bCs/>
                <w:color w:val="000000"/>
                <w:sz w:val="18"/>
                <w:szCs w:val="18"/>
                <w:lang w:eastAsia="en-GB"/>
              </w:rPr>
              <w:t>1.30</w:t>
            </w:r>
          </w:p>
        </w:tc>
        <w:tc>
          <w:tcPr>
            <w:tcW w:w="0" w:type="auto"/>
            <w:tcBorders>
              <w:top w:val="nil"/>
              <w:left w:val="nil"/>
              <w:bottom w:val="single" w:sz="4" w:space="0" w:color="auto"/>
              <w:right w:val="nil"/>
            </w:tcBorders>
            <w:shd w:val="clear" w:color="auto" w:fill="FFFFCC"/>
            <w:noWrap/>
            <w:vAlign w:val="bottom"/>
            <w:hideMark/>
          </w:tcPr>
          <w:p w:rsidR="001A6445" w:rsidRDefault="001A6445">
            <w:pPr>
              <w:spacing w:line="276" w:lineRule="auto"/>
              <w:jc w:val="right"/>
              <w:rPr>
                <w:rFonts w:eastAsia="Times New Roman" w:cs="Arial"/>
                <w:b/>
                <w:bCs/>
                <w:color w:val="000000"/>
                <w:sz w:val="18"/>
                <w:szCs w:val="18"/>
                <w:lang w:eastAsia="en-GB"/>
              </w:rPr>
            </w:pPr>
            <w:r>
              <w:rPr>
                <w:rFonts w:eastAsia="Times New Roman" w:cs="Arial"/>
                <w:b/>
                <w:bCs/>
                <w:color w:val="000000"/>
                <w:sz w:val="18"/>
                <w:szCs w:val="18"/>
                <w:lang w:eastAsia="en-GB"/>
              </w:rPr>
              <w:t>0.53</w:t>
            </w:r>
          </w:p>
        </w:tc>
        <w:tc>
          <w:tcPr>
            <w:tcW w:w="0" w:type="auto"/>
            <w:tcBorders>
              <w:top w:val="nil"/>
              <w:left w:val="nil"/>
              <w:bottom w:val="single" w:sz="4" w:space="0" w:color="auto"/>
              <w:right w:val="nil"/>
            </w:tcBorders>
            <w:shd w:val="clear" w:color="auto" w:fill="FFFFCC"/>
            <w:noWrap/>
            <w:vAlign w:val="bottom"/>
            <w:hideMark/>
          </w:tcPr>
          <w:p w:rsidR="001A6445" w:rsidRDefault="001A6445">
            <w:pPr>
              <w:spacing w:line="276" w:lineRule="auto"/>
              <w:jc w:val="right"/>
              <w:rPr>
                <w:rFonts w:eastAsia="Times New Roman" w:cs="Arial"/>
                <w:b/>
                <w:bCs/>
                <w:color w:val="000000"/>
                <w:sz w:val="18"/>
                <w:szCs w:val="18"/>
                <w:lang w:eastAsia="en-GB"/>
              </w:rPr>
            </w:pPr>
            <w:r>
              <w:rPr>
                <w:rFonts w:eastAsia="Times New Roman" w:cs="Arial"/>
                <w:b/>
                <w:bCs/>
                <w:color w:val="000000"/>
                <w:sz w:val="18"/>
                <w:szCs w:val="18"/>
                <w:lang w:eastAsia="en-GB"/>
              </w:rPr>
              <w:t>0.37</w:t>
            </w:r>
          </w:p>
        </w:tc>
      </w:tr>
    </w:tbl>
    <w:p w:rsidR="001A6445" w:rsidRDefault="001A6445" w:rsidP="001A6445">
      <w:pPr>
        <w:rPr>
          <w:sz w:val="20"/>
          <w:szCs w:val="20"/>
        </w:rPr>
      </w:pPr>
    </w:p>
    <w:p w:rsidR="001A6445" w:rsidRDefault="001A6445" w:rsidP="001A6445">
      <w:pPr>
        <w:rPr>
          <w:sz w:val="20"/>
          <w:szCs w:val="20"/>
        </w:rPr>
      </w:pPr>
      <w:r>
        <w:rPr>
          <w:sz w:val="20"/>
          <w:szCs w:val="20"/>
        </w:rPr>
        <w:t>The appraisal determined that Option 4a remains the best value for money solution with a societal benefit of £1.30 for every pound spent on the scheme over a 30-year life span.</w:t>
      </w:r>
    </w:p>
    <w:p w:rsidR="001A6445" w:rsidRDefault="001A6445" w:rsidP="001A6445">
      <w:pPr>
        <w:rPr>
          <w:sz w:val="20"/>
          <w:szCs w:val="20"/>
        </w:rPr>
      </w:pPr>
    </w:p>
    <w:p w:rsidR="001A6445" w:rsidRDefault="001A6445" w:rsidP="001A6445">
      <w:pPr>
        <w:rPr>
          <w:sz w:val="20"/>
          <w:szCs w:val="20"/>
        </w:rPr>
      </w:pPr>
    </w:p>
    <w:p w:rsidR="001A6445" w:rsidRDefault="001A6445" w:rsidP="002F6011">
      <w:r>
        <w:t>Conclusion</w:t>
      </w:r>
    </w:p>
    <w:p w:rsidR="001A6445" w:rsidRDefault="001A6445" w:rsidP="001A6445">
      <w:pPr>
        <w:rPr>
          <w:sz w:val="20"/>
          <w:szCs w:val="20"/>
        </w:rPr>
      </w:pPr>
    </w:p>
    <w:p w:rsidR="001A6445" w:rsidRDefault="001A6445" w:rsidP="001A6445">
      <w:pPr>
        <w:rPr>
          <w:sz w:val="20"/>
          <w:szCs w:val="20"/>
        </w:rPr>
      </w:pPr>
      <w:r>
        <w:rPr>
          <w:sz w:val="20"/>
          <w:szCs w:val="20"/>
        </w:rPr>
        <w:t>Accepting that capital availability may place a constraint on the Trust, which may in turn lead to an option with less value for money, the Trusts preferred way forwards should be option 4a.</w:t>
      </w:r>
    </w:p>
    <w:p w:rsidR="001A6445" w:rsidRDefault="001A6445">
      <w:pPr>
        <w:spacing w:after="200" w:line="276" w:lineRule="auto"/>
        <w:rPr>
          <w:lang w:eastAsia="en-GB"/>
        </w:rPr>
      </w:pPr>
      <w:r>
        <w:rPr>
          <w:lang w:eastAsia="en-GB"/>
        </w:rPr>
        <w:br w:type="page"/>
      </w:r>
    </w:p>
    <w:p w:rsidR="001A6445" w:rsidRDefault="001A6445" w:rsidP="001A6445">
      <w:pPr>
        <w:pStyle w:val="Heading1"/>
        <w:rPr>
          <w:lang w:eastAsia="en-GB"/>
        </w:rPr>
      </w:pPr>
      <w:bookmarkStart w:id="17" w:name="_Toc105665203"/>
      <w:r>
        <w:rPr>
          <w:lang w:eastAsia="en-GB"/>
        </w:rPr>
        <w:lastRenderedPageBreak/>
        <w:t>Appendix F:  Planning</w:t>
      </w:r>
      <w:bookmarkEnd w:id="17"/>
    </w:p>
    <w:p w:rsidR="001A6445" w:rsidRDefault="001A6445" w:rsidP="001A6445">
      <w:pPr>
        <w:rPr>
          <w:lang w:eastAsia="en-GB"/>
        </w:rPr>
      </w:pPr>
    </w:p>
    <w:p w:rsidR="00AD2747" w:rsidRDefault="00AD2747" w:rsidP="00DF7F41">
      <w:pPr>
        <w:pStyle w:val="ListParagraph"/>
        <w:numPr>
          <w:ilvl w:val="0"/>
          <w:numId w:val="87"/>
        </w:numPr>
        <w:rPr>
          <w:lang w:eastAsia="en-GB"/>
        </w:rPr>
      </w:pPr>
      <w:proofErr w:type="spellStart"/>
      <w:r>
        <w:rPr>
          <w:lang w:eastAsia="en-GB"/>
        </w:rPr>
        <w:t>Pre Approval</w:t>
      </w:r>
      <w:proofErr w:type="spellEnd"/>
      <w:r>
        <w:rPr>
          <w:lang w:eastAsia="en-GB"/>
        </w:rPr>
        <w:t xml:space="preserve"> / Advice Letter</w:t>
      </w:r>
    </w:p>
    <w:p w:rsidR="00AD2747" w:rsidRDefault="00AD2747" w:rsidP="00DF7F41">
      <w:pPr>
        <w:pStyle w:val="ListParagraph"/>
        <w:numPr>
          <w:ilvl w:val="0"/>
          <w:numId w:val="87"/>
        </w:numPr>
        <w:rPr>
          <w:lang w:eastAsia="en-GB"/>
        </w:rPr>
      </w:pPr>
      <w:r>
        <w:rPr>
          <w:lang w:eastAsia="en-GB"/>
        </w:rPr>
        <w:t>Planning Permission</w:t>
      </w:r>
    </w:p>
    <w:p w:rsidR="001A6445" w:rsidRDefault="001A6445" w:rsidP="001A6445">
      <w:pPr>
        <w:rPr>
          <w:lang w:eastAsia="en-GB"/>
        </w:rPr>
      </w:pPr>
      <w:r w:rsidRPr="001A6445">
        <w:rPr>
          <w:noProof/>
          <w:lang w:eastAsia="en-GB"/>
        </w:rPr>
        <w:lastRenderedPageBreak/>
        <w:drawing>
          <wp:inline distT="0" distB="0" distL="0" distR="0" wp14:anchorId="4E6FF847" wp14:editId="16C829FF">
            <wp:extent cx="5731510" cy="812355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8123555"/>
                    </a:xfrm>
                    <a:prstGeom prst="rect">
                      <a:avLst/>
                    </a:prstGeom>
                  </pic:spPr>
                </pic:pic>
              </a:graphicData>
            </a:graphic>
          </wp:inline>
        </w:drawing>
      </w:r>
      <w:r w:rsidR="003B4D6E">
        <w:rPr>
          <w:noProof/>
          <w:lang w:eastAsia="en-GB"/>
        </w:rPr>
        <w:lastRenderedPageBreak/>
        <w:drawing>
          <wp:inline distT="0" distB="0" distL="0" distR="0" wp14:anchorId="0CD74A16">
            <wp:extent cx="6115050" cy="8602345"/>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5050" cy="8602345"/>
                    </a:xfrm>
                    <a:prstGeom prst="rect">
                      <a:avLst/>
                    </a:prstGeom>
                    <a:noFill/>
                  </pic:spPr>
                </pic:pic>
              </a:graphicData>
            </a:graphic>
          </wp:inline>
        </w:drawing>
      </w:r>
      <w:r>
        <w:rPr>
          <w:noProof/>
          <w:lang w:eastAsia="en-GB"/>
        </w:rPr>
        <w:lastRenderedPageBreak/>
        <w:drawing>
          <wp:inline distT="0" distB="0" distL="0" distR="0" wp14:anchorId="49EE452D">
            <wp:extent cx="6134735" cy="8583295"/>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34735" cy="8583295"/>
                    </a:xfrm>
                    <a:prstGeom prst="rect">
                      <a:avLst/>
                    </a:prstGeom>
                    <a:noFill/>
                  </pic:spPr>
                </pic:pic>
              </a:graphicData>
            </a:graphic>
          </wp:inline>
        </w:drawing>
      </w:r>
      <w:r>
        <w:rPr>
          <w:noProof/>
          <w:lang w:eastAsia="en-GB"/>
        </w:rPr>
        <w:lastRenderedPageBreak/>
        <w:drawing>
          <wp:inline distT="0" distB="0" distL="0" distR="0" wp14:anchorId="1290B6B6">
            <wp:extent cx="6134735" cy="8659495"/>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34735" cy="8659495"/>
                    </a:xfrm>
                    <a:prstGeom prst="rect">
                      <a:avLst/>
                    </a:prstGeom>
                    <a:noFill/>
                  </pic:spPr>
                </pic:pic>
              </a:graphicData>
            </a:graphic>
          </wp:inline>
        </w:drawing>
      </w:r>
      <w:r w:rsidR="001C7077" w:rsidRPr="001C7077">
        <w:rPr>
          <w:noProof/>
          <w:lang w:eastAsia="en-GB"/>
        </w:rPr>
        <w:lastRenderedPageBreak/>
        <w:drawing>
          <wp:inline distT="0" distB="0" distL="0" distR="0" wp14:anchorId="18FAD5B2" wp14:editId="5711F620">
            <wp:extent cx="5731510" cy="8131175"/>
            <wp:effectExtent l="0" t="0" r="254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8131175"/>
                    </a:xfrm>
                    <a:prstGeom prst="rect">
                      <a:avLst/>
                    </a:prstGeom>
                  </pic:spPr>
                </pic:pic>
              </a:graphicData>
            </a:graphic>
          </wp:inline>
        </w:drawing>
      </w:r>
    </w:p>
    <w:p w:rsidR="00AD2747" w:rsidRDefault="00AD2747">
      <w:pPr>
        <w:spacing w:after="200" w:line="276" w:lineRule="auto"/>
        <w:rPr>
          <w:lang w:eastAsia="en-GB"/>
        </w:rPr>
      </w:pPr>
      <w:r>
        <w:rPr>
          <w:lang w:eastAsia="en-GB"/>
        </w:rPr>
        <w:br w:type="page"/>
      </w:r>
    </w:p>
    <w:p w:rsidR="00AD2747" w:rsidRDefault="00AD2747" w:rsidP="001A6445">
      <w:pPr>
        <w:rPr>
          <w:lang w:eastAsia="en-GB"/>
        </w:rPr>
      </w:pPr>
      <w:r w:rsidRPr="00AD2747">
        <w:rPr>
          <w:noProof/>
          <w:lang w:eastAsia="en-GB"/>
        </w:rPr>
        <w:lastRenderedPageBreak/>
        <w:drawing>
          <wp:inline distT="0" distB="0" distL="0" distR="0" wp14:anchorId="24F45DF7" wp14:editId="2E2D3368">
            <wp:extent cx="5662943" cy="805497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74105" cy="8070847"/>
                    </a:xfrm>
                    <a:prstGeom prst="rect">
                      <a:avLst/>
                    </a:prstGeom>
                  </pic:spPr>
                </pic:pic>
              </a:graphicData>
            </a:graphic>
          </wp:inline>
        </w:drawing>
      </w:r>
    </w:p>
    <w:p w:rsidR="00AD2747" w:rsidRDefault="00AD2747" w:rsidP="001A6445">
      <w:pPr>
        <w:rPr>
          <w:lang w:eastAsia="en-GB"/>
        </w:rPr>
      </w:pPr>
    </w:p>
    <w:p w:rsidR="001C7077" w:rsidRDefault="001C7077">
      <w:pPr>
        <w:spacing w:after="200" w:line="276" w:lineRule="auto"/>
        <w:rPr>
          <w:lang w:eastAsia="en-GB"/>
        </w:rPr>
      </w:pPr>
      <w:r>
        <w:rPr>
          <w:lang w:eastAsia="en-GB"/>
        </w:rPr>
        <w:br w:type="page"/>
      </w:r>
      <w:r w:rsidR="00AD2747">
        <w:rPr>
          <w:noProof/>
          <w:lang w:eastAsia="en-GB"/>
        </w:rPr>
        <w:lastRenderedPageBreak/>
        <w:drawing>
          <wp:inline distT="0" distB="0" distL="0" distR="0" wp14:anchorId="748D1B99">
            <wp:extent cx="5685576" cy="8056855"/>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98883" cy="8075711"/>
                    </a:xfrm>
                    <a:prstGeom prst="rect">
                      <a:avLst/>
                    </a:prstGeom>
                    <a:noFill/>
                  </pic:spPr>
                </pic:pic>
              </a:graphicData>
            </a:graphic>
          </wp:inline>
        </w:drawing>
      </w:r>
    </w:p>
    <w:p w:rsidR="00AD2747" w:rsidRDefault="00AD2747">
      <w:pPr>
        <w:spacing w:after="200" w:line="276" w:lineRule="auto"/>
        <w:rPr>
          <w:lang w:eastAsia="en-GB"/>
        </w:rPr>
      </w:pPr>
      <w:r>
        <w:rPr>
          <w:noProof/>
          <w:lang w:eastAsia="en-GB"/>
        </w:rPr>
        <w:lastRenderedPageBreak/>
        <w:drawing>
          <wp:inline distT="0" distB="0" distL="0" distR="0" wp14:anchorId="7739E882">
            <wp:extent cx="5726943" cy="7944416"/>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40866" cy="7963730"/>
                    </a:xfrm>
                    <a:prstGeom prst="rect">
                      <a:avLst/>
                    </a:prstGeom>
                    <a:noFill/>
                  </pic:spPr>
                </pic:pic>
              </a:graphicData>
            </a:graphic>
          </wp:inline>
        </w:drawing>
      </w:r>
    </w:p>
    <w:p w:rsidR="00AD2747" w:rsidRDefault="00AD2747">
      <w:pPr>
        <w:spacing w:after="200" w:line="276" w:lineRule="auto"/>
        <w:rPr>
          <w:lang w:eastAsia="en-GB"/>
        </w:rPr>
      </w:pPr>
      <w:r>
        <w:rPr>
          <w:noProof/>
          <w:lang w:eastAsia="en-GB"/>
        </w:rPr>
        <w:lastRenderedPageBreak/>
        <w:drawing>
          <wp:inline distT="0" distB="0" distL="0" distR="0" wp14:anchorId="1D659B36">
            <wp:extent cx="5737803" cy="8053057"/>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9691" cy="8069742"/>
                    </a:xfrm>
                    <a:prstGeom prst="rect">
                      <a:avLst/>
                    </a:prstGeom>
                    <a:noFill/>
                  </pic:spPr>
                </pic:pic>
              </a:graphicData>
            </a:graphic>
          </wp:inline>
        </w:drawing>
      </w:r>
    </w:p>
    <w:p w:rsidR="00AD2747" w:rsidRDefault="00AD2747">
      <w:pPr>
        <w:spacing w:after="200" w:line="276" w:lineRule="auto"/>
        <w:rPr>
          <w:lang w:eastAsia="en-GB"/>
        </w:rPr>
      </w:pPr>
      <w:r>
        <w:rPr>
          <w:noProof/>
          <w:lang w:eastAsia="en-GB"/>
        </w:rPr>
        <w:lastRenderedPageBreak/>
        <w:drawing>
          <wp:inline distT="0" distB="0" distL="0" distR="0" wp14:anchorId="13738CDF">
            <wp:extent cx="5741029" cy="8057584"/>
            <wp:effectExtent l="0" t="0" r="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1536" cy="8072331"/>
                    </a:xfrm>
                    <a:prstGeom prst="rect">
                      <a:avLst/>
                    </a:prstGeom>
                    <a:noFill/>
                  </pic:spPr>
                </pic:pic>
              </a:graphicData>
            </a:graphic>
          </wp:inline>
        </w:drawing>
      </w:r>
    </w:p>
    <w:p w:rsidR="00AD2747" w:rsidRDefault="00AD2747">
      <w:pPr>
        <w:spacing w:after="200" w:line="276" w:lineRule="auto"/>
        <w:rPr>
          <w:lang w:eastAsia="en-GB"/>
        </w:rPr>
      </w:pPr>
      <w:r>
        <w:rPr>
          <w:lang w:eastAsia="en-GB"/>
        </w:rPr>
        <w:br w:type="page"/>
      </w:r>
      <w:r>
        <w:rPr>
          <w:noProof/>
          <w:lang w:eastAsia="en-GB"/>
        </w:rPr>
        <w:lastRenderedPageBreak/>
        <w:drawing>
          <wp:inline distT="0" distB="0" distL="0" distR="0" wp14:anchorId="5CDC5679">
            <wp:extent cx="5708210" cy="8139151"/>
            <wp:effectExtent l="0" t="0" r="698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3313" cy="8160686"/>
                    </a:xfrm>
                    <a:prstGeom prst="rect">
                      <a:avLst/>
                    </a:prstGeom>
                    <a:noFill/>
                  </pic:spPr>
                </pic:pic>
              </a:graphicData>
            </a:graphic>
          </wp:inline>
        </w:drawing>
      </w:r>
    </w:p>
    <w:p w:rsidR="00AD2747" w:rsidRDefault="00AD2747">
      <w:pPr>
        <w:spacing w:after="200" w:line="276" w:lineRule="auto"/>
        <w:rPr>
          <w:rFonts w:asciiTheme="majorHAnsi" w:eastAsiaTheme="majorEastAsia" w:hAnsiTheme="majorHAnsi" w:cstheme="majorBidi"/>
          <w:color w:val="365F91" w:themeColor="accent1" w:themeShade="BF"/>
          <w:sz w:val="32"/>
          <w:szCs w:val="32"/>
          <w:lang w:eastAsia="en-GB"/>
        </w:rPr>
      </w:pPr>
    </w:p>
    <w:p w:rsidR="001A6445" w:rsidRDefault="001C7077" w:rsidP="001C7077">
      <w:pPr>
        <w:pStyle w:val="Heading1"/>
        <w:rPr>
          <w:lang w:eastAsia="en-GB"/>
        </w:rPr>
      </w:pPr>
      <w:bookmarkStart w:id="18" w:name="_Toc105665204"/>
      <w:r>
        <w:rPr>
          <w:lang w:eastAsia="en-GB"/>
        </w:rPr>
        <w:lastRenderedPageBreak/>
        <w:t>Appendix G:  National and Local Strategies</w:t>
      </w:r>
      <w:bookmarkEnd w:id="18"/>
    </w:p>
    <w:p w:rsidR="001C7077" w:rsidRDefault="001C7077" w:rsidP="001C7077">
      <w:pPr>
        <w:rPr>
          <w:lang w:eastAsia="en-GB"/>
        </w:rPr>
      </w:pPr>
    </w:p>
    <w:p w:rsidR="001C7077" w:rsidRDefault="001C7077" w:rsidP="001C7077">
      <w:pPr>
        <w:spacing w:after="160"/>
        <w:ind w:left="360"/>
        <w:jc w:val="both"/>
        <w:rPr>
          <w:rFonts w:ascii="Calibri" w:eastAsia="Times New Roman" w:hAnsi="Calibri" w:cs="Times New Roman"/>
          <w:color w:val="5A5A5A"/>
          <w:spacing w:val="15"/>
          <w:sz w:val="28"/>
          <w:szCs w:val="28"/>
          <w:lang w:eastAsia="en-GB"/>
        </w:rPr>
      </w:pPr>
      <w:bookmarkStart w:id="19" w:name="_Toc76551189"/>
      <w:r>
        <w:rPr>
          <w:rFonts w:ascii="Calibri" w:eastAsia="Times New Roman" w:hAnsi="Calibri" w:cs="Times New Roman"/>
          <w:color w:val="5A5A5A"/>
          <w:spacing w:val="15"/>
          <w:sz w:val="28"/>
          <w:szCs w:val="28"/>
          <w:lang w:eastAsia="en-GB"/>
        </w:rPr>
        <w:t>B.1</w:t>
      </w:r>
      <w:r>
        <w:rPr>
          <w:rFonts w:ascii="Calibri" w:eastAsia="Times New Roman" w:hAnsi="Calibri" w:cs="Times New Roman"/>
          <w:color w:val="5A5A5A"/>
          <w:spacing w:val="15"/>
          <w:sz w:val="28"/>
          <w:szCs w:val="28"/>
          <w:lang w:eastAsia="en-GB"/>
        </w:rPr>
        <w:tab/>
        <w:t>Transformation of Urgent and Emergency Care:  Models of Care and Measurement – December 2020</w:t>
      </w:r>
    </w:p>
    <w:p w:rsidR="001C7077" w:rsidRDefault="001C7077" w:rsidP="001C7077">
      <w:pPr>
        <w:rPr>
          <w:rFonts w:eastAsia="Times New Roman" w:cs="Times New Roman"/>
          <w:sz w:val="22"/>
          <w:lang w:eastAsia="en-GB"/>
        </w:rPr>
      </w:pPr>
      <w:r>
        <w:rPr>
          <w:rFonts w:eastAsia="Times New Roman" w:cs="Times New Roman"/>
          <w:sz w:val="22"/>
          <w:lang w:eastAsia="en-GB"/>
        </w:rPr>
        <w:t xml:space="preserve">The </w:t>
      </w:r>
      <w:r>
        <w:rPr>
          <w:rFonts w:eastAsia="Times New Roman" w:cs="Times New Roman"/>
          <w:i/>
          <w:sz w:val="22"/>
          <w:lang w:eastAsia="en-GB"/>
        </w:rPr>
        <w:t>Transformation of Urgent and Emergency Care: Models of Care and Measurement</w:t>
      </w:r>
      <w:r>
        <w:rPr>
          <w:rFonts w:eastAsia="Times New Roman" w:cs="Times New Roman"/>
          <w:sz w:val="22"/>
          <w:lang w:eastAsia="en-GB"/>
        </w:rPr>
        <w:t xml:space="preserve"> establishes a consultation on proposals that align care closer to the LTP.  This includes changes in the wake of the Covid-19 pandemic where attendances to ED fell and demand on 111 services increased due to the effect of the need for isolation and social distancing.  The report notes that numbers have now returned to near normal levels pre pandemic.</w:t>
      </w:r>
    </w:p>
    <w:p w:rsidR="001C7077" w:rsidRDefault="001C7077" w:rsidP="001C7077">
      <w:pPr>
        <w:rPr>
          <w:rFonts w:eastAsia="Times New Roman" w:cs="Times New Roman"/>
          <w:sz w:val="22"/>
          <w:lang w:eastAsia="en-GB"/>
        </w:rPr>
      </w:pPr>
    </w:p>
    <w:p w:rsidR="001C7077" w:rsidRDefault="001C7077" w:rsidP="001C7077">
      <w:pPr>
        <w:rPr>
          <w:rFonts w:eastAsia="Times New Roman" w:cs="Times New Roman"/>
          <w:sz w:val="22"/>
          <w:lang w:eastAsia="en-GB"/>
        </w:rPr>
      </w:pPr>
      <w:r>
        <w:rPr>
          <w:rFonts w:eastAsia="Times New Roman" w:cs="Times New Roman"/>
          <w:sz w:val="22"/>
          <w:lang w:eastAsia="en-GB"/>
        </w:rPr>
        <w:t xml:space="preserve">The paper details the outcome of a clinically led review of standards (CRS), as existing standards do not take into account acuity and patient safety and the changes to urgent care since the introduction of the 4 hour standard in 2004, including the introduction of specialist centres for stroke, development of UTC’s, NHS111, introduction of specialist trauma centres, cardiac centres and stroke units, etc.  </w:t>
      </w:r>
    </w:p>
    <w:p w:rsidR="001C7077" w:rsidRDefault="001C7077" w:rsidP="001C7077">
      <w:pPr>
        <w:rPr>
          <w:rFonts w:eastAsia="Times New Roman" w:cs="Times New Roman"/>
          <w:sz w:val="22"/>
          <w:lang w:eastAsia="en-GB"/>
        </w:rPr>
      </w:pPr>
    </w:p>
    <w:p w:rsidR="001C7077" w:rsidRDefault="001C7077" w:rsidP="001C7077">
      <w:pPr>
        <w:rPr>
          <w:rFonts w:eastAsia="Times New Roman" w:cs="Times New Roman"/>
          <w:sz w:val="22"/>
          <w:lang w:eastAsia="en-GB"/>
        </w:rPr>
      </w:pPr>
      <w:r>
        <w:rPr>
          <w:rFonts w:eastAsia="Times New Roman" w:cs="Times New Roman"/>
          <w:sz w:val="22"/>
          <w:lang w:eastAsia="en-GB"/>
        </w:rPr>
        <w:t xml:space="preserve">The review, pending consultation, sets out the recommendations of the Urgent and Emergency Care </w:t>
      </w:r>
      <w:proofErr w:type="spellStart"/>
      <w:r>
        <w:rPr>
          <w:rFonts w:eastAsia="Times New Roman" w:cs="Times New Roman"/>
          <w:sz w:val="22"/>
          <w:lang w:eastAsia="en-GB"/>
        </w:rPr>
        <w:t>workstream</w:t>
      </w:r>
      <w:proofErr w:type="spellEnd"/>
      <w:r>
        <w:rPr>
          <w:rFonts w:eastAsia="Times New Roman" w:cs="Times New Roman"/>
          <w:sz w:val="22"/>
          <w:lang w:eastAsia="en-GB"/>
        </w:rPr>
        <w:t xml:space="preserve"> from the CRS, including:</w:t>
      </w:r>
    </w:p>
    <w:p w:rsidR="001C7077" w:rsidRDefault="001C7077" w:rsidP="00B8621B">
      <w:pPr>
        <w:numPr>
          <w:ilvl w:val="0"/>
          <w:numId w:val="17"/>
        </w:numPr>
        <w:contextualSpacing/>
        <w:rPr>
          <w:rFonts w:eastAsia="Times New Roman" w:cs="Times New Roman"/>
          <w:sz w:val="22"/>
          <w:lang w:eastAsia="en-GB"/>
        </w:rPr>
      </w:pPr>
      <w:r>
        <w:rPr>
          <w:rFonts w:eastAsia="Times New Roman" w:cs="Times New Roman"/>
          <w:sz w:val="22"/>
          <w:lang w:eastAsia="en-GB"/>
        </w:rPr>
        <w:t>Booked appointments into ED and UTC’s;</w:t>
      </w:r>
    </w:p>
    <w:p w:rsidR="001C7077" w:rsidRDefault="001C7077" w:rsidP="00B8621B">
      <w:pPr>
        <w:numPr>
          <w:ilvl w:val="0"/>
          <w:numId w:val="17"/>
        </w:numPr>
        <w:contextualSpacing/>
        <w:rPr>
          <w:rFonts w:eastAsia="Times New Roman" w:cs="Times New Roman"/>
          <w:sz w:val="22"/>
          <w:lang w:eastAsia="en-GB"/>
        </w:rPr>
      </w:pPr>
      <w:r>
        <w:rPr>
          <w:rFonts w:eastAsia="Times New Roman" w:cs="Times New Roman"/>
          <w:sz w:val="22"/>
          <w:lang w:eastAsia="en-GB"/>
        </w:rPr>
        <w:t>Capital to improve capacity and capability within the existing emergency departments;</w:t>
      </w:r>
    </w:p>
    <w:p w:rsidR="001C7077" w:rsidRDefault="001C7077" w:rsidP="00B8621B">
      <w:pPr>
        <w:numPr>
          <w:ilvl w:val="0"/>
          <w:numId w:val="17"/>
        </w:numPr>
        <w:contextualSpacing/>
        <w:rPr>
          <w:rFonts w:eastAsia="Times New Roman" w:cs="Times New Roman"/>
          <w:sz w:val="22"/>
          <w:lang w:eastAsia="en-GB"/>
        </w:rPr>
      </w:pPr>
      <w:r>
        <w:rPr>
          <w:rFonts w:eastAsia="Times New Roman" w:cs="Times New Roman"/>
          <w:sz w:val="22"/>
          <w:lang w:eastAsia="en-GB"/>
        </w:rPr>
        <w:t>Increasing capital and capacity within 111 services and utilising technology more for Clinical Assessment Services such as video consultations;</w:t>
      </w:r>
    </w:p>
    <w:p w:rsidR="001C7077" w:rsidRDefault="001C7077" w:rsidP="00B8621B">
      <w:pPr>
        <w:numPr>
          <w:ilvl w:val="0"/>
          <w:numId w:val="17"/>
        </w:numPr>
        <w:contextualSpacing/>
        <w:rPr>
          <w:rFonts w:eastAsia="Times New Roman" w:cs="Times New Roman"/>
          <w:sz w:val="22"/>
          <w:lang w:eastAsia="en-GB"/>
        </w:rPr>
      </w:pPr>
      <w:r>
        <w:rPr>
          <w:rFonts w:eastAsia="Times New Roman" w:cs="Times New Roman"/>
          <w:sz w:val="22"/>
          <w:lang w:eastAsia="en-GB"/>
        </w:rPr>
        <w:t>Minimising exit block from acute trusts;</w:t>
      </w:r>
    </w:p>
    <w:p w:rsidR="001C7077" w:rsidRDefault="001C7077" w:rsidP="00B8621B">
      <w:pPr>
        <w:numPr>
          <w:ilvl w:val="0"/>
          <w:numId w:val="17"/>
        </w:numPr>
        <w:contextualSpacing/>
        <w:rPr>
          <w:rFonts w:eastAsia="Times New Roman" w:cs="Times New Roman"/>
          <w:sz w:val="22"/>
          <w:lang w:eastAsia="en-GB"/>
        </w:rPr>
      </w:pPr>
      <w:r>
        <w:rPr>
          <w:rFonts w:eastAsia="Times New Roman" w:cs="Times New Roman"/>
          <w:sz w:val="22"/>
          <w:lang w:eastAsia="en-GB"/>
        </w:rPr>
        <w:t>Promoting Same Day Emergency Care facilities.</w:t>
      </w:r>
    </w:p>
    <w:p w:rsidR="001C7077" w:rsidRDefault="001C7077" w:rsidP="001C7077">
      <w:pPr>
        <w:rPr>
          <w:rFonts w:eastAsia="Times New Roman" w:cs="Times New Roman"/>
          <w:sz w:val="22"/>
          <w:lang w:eastAsia="en-GB"/>
        </w:rPr>
      </w:pPr>
    </w:p>
    <w:p w:rsidR="001C7077" w:rsidRDefault="001C7077" w:rsidP="001C7077">
      <w:pPr>
        <w:rPr>
          <w:rFonts w:eastAsia="Times New Roman" w:cs="Times New Roman"/>
          <w:sz w:val="22"/>
          <w:lang w:eastAsia="en-GB"/>
        </w:rPr>
      </w:pPr>
      <w:r>
        <w:rPr>
          <w:rFonts w:eastAsia="Times New Roman" w:cs="Times New Roman"/>
          <w:sz w:val="22"/>
          <w:lang w:eastAsia="en-GB"/>
        </w:rPr>
        <w:t>The paper also puts forwards a number of possible new metrics for urgent care standards, including:</w:t>
      </w:r>
    </w:p>
    <w:p w:rsidR="001C7077" w:rsidRDefault="001C7077" w:rsidP="001C7077">
      <w:pPr>
        <w:rPr>
          <w:rFonts w:eastAsia="Times New Roman" w:cs="Times New Roman"/>
          <w:sz w:val="22"/>
          <w:lang w:eastAsia="en-GB"/>
        </w:rPr>
      </w:pPr>
    </w:p>
    <w:p w:rsidR="001C7077" w:rsidRDefault="001C7077" w:rsidP="00B8621B">
      <w:pPr>
        <w:pStyle w:val="ListParagraph"/>
        <w:numPr>
          <w:ilvl w:val="0"/>
          <w:numId w:val="18"/>
        </w:numPr>
        <w:rPr>
          <w:rFonts w:eastAsia="Times New Roman" w:cs="Times New Roman"/>
          <w:sz w:val="22"/>
          <w:lang w:eastAsia="en-GB"/>
        </w:rPr>
      </w:pPr>
      <w:r>
        <w:rPr>
          <w:sz w:val="22"/>
        </w:rPr>
        <w:t>Handover delays;</w:t>
      </w:r>
    </w:p>
    <w:p w:rsidR="001C7077" w:rsidRDefault="001C7077" w:rsidP="00B8621B">
      <w:pPr>
        <w:pStyle w:val="ListParagraph"/>
        <w:numPr>
          <w:ilvl w:val="0"/>
          <w:numId w:val="18"/>
        </w:numPr>
        <w:rPr>
          <w:sz w:val="22"/>
        </w:rPr>
      </w:pPr>
      <w:r>
        <w:rPr>
          <w:sz w:val="22"/>
        </w:rPr>
        <w:t>Time to initial assessment;</w:t>
      </w:r>
    </w:p>
    <w:p w:rsidR="001C7077" w:rsidRDefault="001C7077" w:rsidP="00B8621B">
      <w:pPr>
        <w:pStyle w:val="ListParagraph"/>
        <w:numPr>
          <w:ilvl w:val="0"/>
          <w:numId w:val="18"/>
        </w:numPr>
        <w:rPr>
          <w:sz w:val="22"/>
        </w:rPr>
      </w:pPr>
      <w:r>
        <w:rPr>
          <w:sz w:val="22"/>
        </w:rPr>
        <w:t>Mean time in the department for non-admitted patients;</w:t>
      </w:r>
    </w:p>
    <w:p w:rsidR="001C7077" w:rsidRDefault="001C7077" w:rsidP="00B8621B">
      <w:pPr>
        <w:pStyle w:val="ListParagraph"/>
        <w:numPr>
          <w:ilvl w:val="0"/>
          <w:numId w:val="18"/>
        </w:numPr>
      </w:pPr>
      <w:r>
        <w:rPr>
          <w:sz w:val="22"/>
        </w:rPr>
        <w:t>Percentage of patients spending more than 12 hours in the ED.</w:t>
      </w:r>
    </w:p>
    <w:p w:rsidR="001C7077" w:rsidRDefault="001C7077" w:rsidP="001C7077">
      <w:pPr>
        <w:rPr>
          <w:sz w:val="22"/>
        </w:rPr>
      </w:pPr>
    </w:p>
    <w:p w:rsidR="001C7077" w:rsidRDefault="001C7077" w:rsidP="001C7077">
      <w:pPr>
        <w:rPr>
          <w:sz w:val="22"/>
        </w:rPr>
      </w:pPr>
      <w:r>
        <w:rPr>
          <w:sz w:val="22"/>
        </w:rPr>
        <w:t>Whilst the paper talks about the need to reduce ED attendances by providing alternatives it also accepts that most ED’s do not have the required capacity to deal with new attendance levels and discusses the £450M the Government made available to 140 trusts to prepare for winter.  The investment is for rapid, immediate changes to emergency services to prevent nosocomial infection, improve flow through ED by increasing capacity and capabilities of the ED’s and UTC’s, provide priority admission units and expanding activity in SDEC.</w:t>
      </w:r>
    </w:p>
    <w:p w:rsidR="001C7077" w:rsidRDefault="001C7077" w:rsidP="001C7077">
      <w:pPr>
        <w:spacing w:after="160"/>
        <w:jc w:val="both"/>
        <w:rPr>
          <w:rFonts w:ascii="Calibri" w:eastAsia="Times New Roman" w:hAnsi="Calibri" w:cs="Times New Roman"/>
          <w:color w:val="5A5A5A"/>
          <w:spacing w:val="15"/>
          <w:sz w:val="22"/>
          <w:lang w:eastAsia="en-GB"/>
        </w:rPr>
      </w:pPr>
    </w:p>
    <w:p w:rsidR="001C7077" w:rsidRDefault="001C7077" w:rsidP="001C7077">
      <w:pPr>
        <w:spacing w:after="160"/>
        <w:ind w:left="360"/>
        <w:jc w:val="both"/>
        <w:rPr>
          <w:rFonts w:ascii="Calibri" w:eastAsia="Times New Roman" w:hAnsi="Calibri" w:cs="Times New Roman"/>
          <w:color w:val="5A5A5A"/>
          <w:spacing w:val="15"/>
          <w:sz w:val="28"/>
          <w:szCs w:val="28"/>
          <w:lang w:eastAsia="en-GB"/>
        </w:rPr>
      </w:pPr>
      <w:r>
        <w:rPr>
          <w:rFonts w:ascii="Calibri" w:eastAsia="Times New Roman" w:hAnsi="Calibri" w:cs="Times New Roman"/>
          <w:color w:val="5A5A5A"/>
          <w:spacing w:val="15"/>
          <w:sz w:val="28"/>
          <w:szCs w:val="28"/>
          <w:lang w:eastAsia="en-GB"/>
        </w:rPr>
        <w:t>B.2</w:t>
      </w:r>
      <w:r>
        <w:rPr>
          <w:rFonts w:ascii="Calibri" w:eastAsia="Times New Roman" w:hAnsi="Calibri" w:cs="Times New Roman"/>
          <w:color w:val="5A5A5A"/>
          <w:spacing w:val="15"/>
          <w:sz w:val="28"/>
          <w:szCs w:val="28"/>
          <w:lang w:eastAsia="en-GB"/>
        </w:rPr>
        <w:tab/>
        <w:t>Health Infrastructure Plan (HIP) – October 2019</w:t>
      </w:r>
      <w:bookmarkEnd w:id="19"/>
    </w:p>
    <w:p w:rsidR="001C7077" w:rsidRDefault="001C7077" w:rsidP="001C7077">
      <w:pPr>
        <w:rPr>
          <w:rFonts w:eastAsia="Times New Roman" w:cs="Times New Roman"/>
          <w:szCs w:val="24"/>
          <w:lang w:eastAsia="en-GB"/>
        </w:rPr>
      </w:pPr>
    </w:p>
    <w:p w:rsidR="001C7077" w:rsidRDefault="001C7077" w:rsidP="001C7077">
      <w:pPr>
        <w:jc w:val="both"/>
        <w:rPr>
          <w:rFonts w:eastAsia="Times New Roman" w:cs="Times New Roman"/>
          <w:sz w:val="22"/>
          <w:lang w:eastAsia="en-GB"/>
        </w:rPr>
      </w:pPr>
      <w:r>
        <w:rPr>
          <w:rFonts w:eastAsia="Times New Roman" w:cs="Times New Roman"/>
          <w:sz w:val="22"/>
          <w:lang w:eastAsia="en-GB"/>
        </w:rPr>
        <w:t>The health infrastructure plan represents a long term investment in the NHS to develop capital projects.  This brought in additional funding to that announced within the NHS Long Term Plan, below.  The first wave of the HIP involves over 40 projects with the aim of delivery by 2025 and there will be future waves for other projects and schemes.</w:t>
      </w:r>
    </w:p>
    <w:p w:rsidR="001C7077" w:rsidRDefault="001C7077" w:rsidP="001C7077">
      <w:pPr>
        <w:jc w:val="both"/>
        <w:rPr>
          <w:rFonts w:eastAsia="Times New Roman" w:cs="Times New Roman"/>
          <w:sz w:val="22"/>
          <w:lang w:eastAsia="en-GB"/>
        </w:rPr>
      </w:pPr>
    </w:p>
    <w:p w:rsidR="001C7077" w:rsidRDefault="001C7077" w:rsidP="001C7077">
      <w:pPr>
        <w:jc w:val="both"/>
        <w:rPr>
          <w:rFonts w:eastAsia="Times New Roman" w:cs="Times New Roman"/>
          <w:sz w:val="22"/>
          <w:lang w:eastAsia="en-GB"/>
        </w:rPr>
      </w:pPr>
      <w:r>
        <w:rPr>
          <w:rFonts w:eastAsia="Times New Roman" w:cs="Times New Roman"/>
          <w:sz w:val="22"/>
          <w:lang w:eastAsia="en-GB"/>
        </w:rPr>
        <w:t>The plan outlines three key things to make the NHS Infrastructure fit for the future:</w:t>
      </w:r>
    </w:p>
    <w:p w:rsidR="001C7077" w:rsidRDefault="001C7077" w:rsidP="001C7077">
      <w:pPr>
        <w:jc w:val="both"/>
        <w:rPr>
          <w:rFonts w:eastAsia="Times New Roman" w:cs="Times New Roman"/>
          <w:sz w:val="22"/>
          <w:lang w:eastAsia="en-GB"/>
        </w:rPr>
      </w:pPr>
    </w:p>
    <w:p w:rsidR="001C7077" w:rsidRDefault="001C7077" w:rsidP="00B8621B">
      <w:pPr>
        <w:numPr>
          <w:ilvl w:val="0"/>
          <w:numId w:val="19"/>
        </w:numPr>
        <w:jc w:val="both"/>
        <w:rPr>
          <w:rFonts w:eastAsia="Times New Roman" w:cs="Times New Roman"/>
          <w:sz w:val="22"/>
          <w:lang w:eastAsia="en-GB"/>
        </w:rPr>
      </w:pPr>
      <w:r>
        <w:rPr>
          <w:rFonts w:eastAsia="Times New Roman" w:cs="Times New Roman"/>
          <w:sz w:val="22"/>
          <w:lang w:eastAsia="en-GB"/>
        </w:rPr>
        <w:t>A new five-year rolling programme of investment in NHS Infrastructure;</w:t>
      </w:r>
    </w:p>
    <w:p w:rsidR="001C7077" w:rsidRDefault="001C7077" w:rsidP="001C7077">
      <w:pPr>
        <w:jc w:val="both"/>
        <w:rPr>
          <w:rFonts w:eastAsia="Times New Roman" w:cs="Times New Roman"/>
          <w:sz w:val="22"/>
          <w:lang w:eastAsia="en-GB"/>
        </w:rPr>
      </w:pPr>
    </w:p>
    <w:p w:rsidR="001C7077" w:rsidRDefault="001C7077" w:rsidP="00B8621B">
      <w:pPr>
        <w:numPr>
          <w:ilvl w:val="0"/>
          <w:numId w:val="19"/>
        </w:numPr>
        <w:jc w:val="both"/>
        <w:rPr>
          <w:rFonts w:eastAsia="Times New Roman" w:cs="Times New Roman"/>
          <w:sz w:val="22"/>
          <w:lang w:eastAsia="en-GB"/>
        </w:rPr>
      </w:pPr>
      <w:r>
        <w:rPr>
          <w:rFonts w:eastAsia="Times New Roman" w:cs="Times New Roman"/>
          <w:sz w:val="22"/>
          <w:lang w:eastAsia="en-GB"/>
        </w:rPr>
        <w:t>A reformed system underpinning capital to ensure funding addresses need;</w:t>
      </w:r>
    </w:p>
    <w:p w:rsidR="001C7077" w:rsidRDefault="001C7077" w:rsidP="001C7077">
      <w:pPr>
        <w:ind w:left="720"/>
        <w:contextualSpacing/>
        <w:rPr>
          <w:rFonts w:eastAsia="Times New Roman" w:cs="Times New Roman"/>
          <w:sz w:val="22"/>
          <w:lang w:eastAsia="en-GB"/>
        </w:rPr>
      </w:pPr>
    </w:p>
    <w:p w:rsidR="001C7077" w:rsidRDefault="001C7077" w:rsidP="00B8621B">
      <w:pPr>
        <w:numPr>
          <w:ilvl w:val="0"/>
          <w:numId w:val="19"/>
        </w:numPr>
        <w:jc w:val="both"/>
        <w:rPr>
          <w:rFonts w:eastAsia="Times New Roman" w:cs="Times New Roman"/>
          <w:sz w:val="22"/>
          <w:lang w:eastAsia="en-GB"/>
        </w:rPr>
      </w:pPr>
      <w:r>
        <w:rPr>
          <w:rFonts w:eastAsia="Times New Roman" w:cs="Times New Roman"/>
          <w:sz w:val="22"/>
          <w:lang w:eastAsia="en-GB"/>
        </w:rPr>
        <w:t>Backing of wider health and care sectors with funding at the capital review.</w:t>
      </w:r>
    </w:p>
    <w:p w:rsidR="001C7077" w:rsidRDefault="001C7077" w:rsidP="001C7077">
      <w:pPr>
        <w:ind w:left="720"/>
        <w:contextualSpacing/>
        <w:rPr>
          <w:rFonts w:eastAsia="Times New Roman" w:cs="Times New Roman"/>
          <w:sz w:val="22"/>
          <w:lang w:eastAsia="en-GB"/>
        </w:rPr>
      </w:pPr>
    </w:p>
    <w:p w:rsidR="001C7077" w:rsidRDefault="001C7077" w:rsidP="001C7077">
      <w:pPr>
        <w:rPr>
          <w:rFonts w:eastAsia="Times New Roman" w:cs="Times New Roman"/>
          <w:sz w:val="22"/>
          <w:lang w:eastAsia="en-GB"/>
        </w:rPr>
      </w:pPr>
    </w:p>
    <w:p w:rsidR="001C7077" w:rsidRDefault="001C7077" w:rsidP="001C7077">
      <w:pPr>
        <w:spacing w:after="160"/>
        <w:ind w:left="360"/>
        <w:jc w:val="both"/>
        <w:rPr>
          <w:rFonts w:ascii="Calibri" w:eastAsia="Times New Roman" w:hAnsi="Calibri" w:cs="Times New Roman"/>
          <w:color w:val="5A5A5A"/>
          <w:spacing w:val="15"/>
          <w:sz w:val="28"/>
          <w:szCs w:val="28"/>
          <w:lang w:eastAsia="en-GB"/>
        </w:rPr>
      </w:pPr>
      <w:bookmarkStart w:id="20" w:name="_Toc76551190"/>
      <w:bookmarkStart w:id="21" w:name="_Toc34395862"/>
      <w:r>
        <w:rPr>
          <w:rFonts w:ascii="Calibri" w:eastAsia="Times New Roman" w:hAnsi="Calibri" w:cs="Times New Roman"/>
          <w:color w:val="5A5A5A"/>
          <w:spacing w:val="15"/>
          <w:sz w:val="28"/>
          <w:szCs w:val="28"/>
          <w:lang w:eastAsia="en-GB"/>
        </w:rPr>
        <w:t>B.3</w:t>
      </w:r>
      <w:r>
        <w:rPr>
          <w:rFonts w:ascii="Calibri" w:eastAsia="Times New Roman" w:hAnsi="Calibri" w:cs="Times New Roman"/>
          <w:color w:val="5A5A5A"/>
          <w:spacing w:val="15"/>
          <w:sz w:val="28"/>
          <w:szCs w:val="28"/>
          <w:lang w:eastAsia="en-GB"/>
        </w:rPr>
        <w:tab/>
        <w:t>NHS Long Term Plan – January 2019</w:t>
      </w:r>
      <w:bookmarkEnd w:id="20"/>
      <w:bookmarkEnd w:id="21"/>
    </w:p>
    <w:p w:rsidR="001C7077" w:rsidRDefault="001C7077" w:rsidP="001C7077">
      <w:pPr>
        <w:rPr>
          <w:rFonts w:eastAsia="Times New Roman" w:cs="Times New Roman"/>
          <w:szCs w:val="24"/>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The </w:t>
      </w:r>
      <w:r>
        <w:rPr>
          <w:rFonts w:eastAsia="Times New Roman" w:cs="Arial"/>
          <w:bCs/>
          <w:i/>
          <w:iCs/>
          <w:sz w:val="22"/>
          <w:lang w:eastAsia="en-GB"/>
        </w:rPr>
        <w:t xml:space="preserve">NHS Long Term Plan </w:t>
      </w:r>
      <w:r>
        <w:rPr>
          <w:rFonts w:eastAsia="Times New Roman" w:cs="Arial"/>
          <w:bCs/>
          <w:sz w:val="22"/>
          <w:lang w:eastAsia="en-GB"/>
        </w:rPr>
        <w:t xml:space="preserve">is a plan for the NHS to improve the quality of patient care and health outcomes. The plan focuses on building an NHS fit for the future by: </w:t>
      </w:r>
    </w:p>
    <w:p w:rsidR="001C7077" w:rsidRDefault="001C7077" w:rsidP="001C7077">
      <w:pPr>
        <w:autoSpaceDE w:val="0"/>
        <w:autoSpaceDN w:val="0"/>
        <w:adjustRightInd w:val="0"/>
        <w:rPr>
          <w:rFonts w:eastAsia="Times New Roman" w:cs="Arial"/>
          <w:bCs/>
          <w:sz w:val="22"/>
          <w:lang w:eastAsia="en-GB"/>
        </w:rPr>
      </w:pPr>
    </w:p>
    <w:p w:rsidR="001C7077" w:rsidRDefault="001C7077" w:rsidP="00B8621B">
      <w:pPr>
        <w:numPr>
          <w:ilvl w:val="0"/>
          <w:numId w:val="20"/>
        </w:numPr>
        <w:autoSpaceDE w:val="0"/>
        <w:autoSpaceDN w:val="0"/>
        <w:adjustRightInd w:val="0"/>
        <w:rPr>
          <w:rFonts w:eastAsia="Times New Roman" w:cs="Arial"/>
          <w:bCs/>
          <w:sz w:val="22"/>
          <w:lang w:eastAsia="en-GB"/>
        </w:rPr>
      </w:pPr>
      <w:r>
        <w:rPr>
          <w:rFonts w:eastAsia="Times New Roman" w:cs="Arial"/>
          <w:bCs/>
          <w:sz w:val="22"/>
          <w:lang w:eastAsia="en-GB"/>
        </w:rPr>
        <w:t xml:space="preserve">Enabling everyone to get the best start in life; </w:t>
      </w:r>
    </w:p>
    <w:p w:rsidR="001C7077" w:rsidRDefault="001C7077" w:rsidP="001C7077">
      <w:pPr>
        <w:autoSpaceDE w:val="0"/>
        <w:autoSpaceDN w:val="0"/>
        <w:adjustRightInd w:val="0"/>
        <w:rPr>
          <w:rFonts w:eastAsia="Times New Roman" w:cs="Arial"/>
          <w:bCs/>
          <w:sz w:val="22"/>
          <w:lang w:eastAsia="en-GB"/>
        </w:rPr>
      </w:pPr>
    </w:p>
    <w:p w:rsidR="001C7077" w:rsidRDefault="001C7077" w:rsidP="00B8621B">
      <w:pPr>
        <w:numPr>
          <w:ilvl w:val="0"/>
          <w:numId w:val="20"/>
        </w:numPr>
        <w:autoSpaceDE w:val="0"/>
        <w:autoSpaceDN w:val="0"/>
        <w:adjustRightInd w:val="0"/>
        <w:rPr>
          <w:rFonts w:eastAsia="Times New Roman" w:cs="Arial"/>
          <w:bCs/>
          <w:sz w:val="22"/>
          <w:lang w:eastAsia="en-GB"/>
        </w:rPr>
      </w:pPr>
      <w:r>
        <w:rPr>
          <w:rFonts w:eastAsia="Times New Roman" w:cs="Arial"/>
          <w:bCs/>
          <w:sz w:val="22"/>
          <w:lang w:eastAsia="en-GB"/>
        </w:rPr>
        <w:t xml:space="preserve">Helping communities to live well; </w:t>
      </w:r>
    </w:p>
    <w:p w:rsidR="001C7077" w:rsidRDefault="001C7077" w:rsidP="001C7077">
      <w:pPr>
        <w:autoSpaceDE w:val="0"/>
        <w:autoSpaceDN w:val="0"/>
        <w:adjustRightInd w:val="0"/>
        <w:rPr>
          <w:rFonts w:eastAsia="Times New Roman" w:cs="Arial"/>
          <w:bCs/>
          <w:sz w:val="22"/>
          <w:lang w:eastAsia="en-GB"/>
        </w:rPr>
      </w:pPr>
    </w:p>
    <w:p w:rsidR="001C7077" w:rsidRDefault="001C7077" w:rsidP="00B8621B">
      <w:pPr>
        <w:numPr>
          <w:ilvl w:val="0"/>
          <w:numId w:val="20"/>
        </w:numPr>
        <w:autoSpaceDE w:val="0"/>
        <w:autoSpaceDN w:val="0"/>
        <w:adjustRightInd w:val="0"/>
        <w:rPr>
          <w:rFonts w:eastAsia="Times New Roman" w:cs="Arial"/>
          <w:bCs/>
          <w:sz w:val="22"/>
          <w:lang w:eastAsia="en-GB"/>
        </w:rPr>
      </w:pPr>
      <w:r>
        <w:rPr>
          <w:rFonts w:eastAsia="Times New Roman" w:cs="Arial"/>
          <w:bCs/>
          <w:sz w:val="22"/>
          <w:lang w:eastAsia="en-GB"/>
        </w:rPr>
        <w:t xml:space="preserve">Helping people to age well.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The plan was developed in partnership with frontline health and care staff, patients and their families.  It aims to improve outcomes for major diseases, including cancer, heart disease, stroke, respiratory disease and dementia.  The plan also includes measures to: </w:t>
      </w:r>
    </w:p>
    <w:p w:rsidR="001C7077" w:rsidRDefault="001C7077" w:rsidP="001C7077">
      <w:pPr>
        <w:autoSpaceDE w:val="0"/>
        <w:autoSpaceDN w:val="0"/>
        <w:adjustRightInd w:val="0"/>
        <w:jc w:val="both"/>
        <w:rPr>
          <w:rFonts w:eastAsia="Times New Roman" w:cs="Arial"/>
          <w:b/>
          <w:bCs/>
          <w:sz w:val="22"/>
          <w:lang w:eastAsia="en-GB"/>
        </w:rPr>
      </w:pPr>
    </w:p>
    <w:p w:rsidR="001C7077" w:rsidRDefault="001C7077" w:rsidP="00B8621B">
      <w:pPr>
        <w:numPr>
          <w:ilvl w:val="0"/>
          <w:numId w:val="21"/>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Improve out-of-hospital care, supporting primary medical and community health services; </w:t>
      </w:r>
    </w:p>
    <w:p w:rsidR="001C7077" w:rsidRDefault="001C7077" w:rsidP="001C7077">
      <w:pPr>
        <w:autoSpaceDE w:val="0"/>
        <w:autoSpaceDN w:val="0"/>
        <w:adjustRightInd w:val="0"/>
        <w:ind w:left="720"/>
        <w:contextualSpacing/>
        <w:jc w:val="both"/>
        <w:rPr>
          <w:rFonts w:eastAsia="Times New Roman" w:cs="Arial"/>
          <w:bCs/>
          <w:sz w:val="22"/>
          <w:lang w:eastAsia="en-GB"/>
        </w:rPr>
      </w:pPr>
    </w:p>
    <w:p w:rsidR="001C7077" w:rsidRDefault="001C7077" w:rsidP="00B8621B">
      <w:pPr>
        <w:numPr>
          <w:ilvl w:val="0"/>
          <w:numId w:val="21"/>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Ensure all children get the best start in life by continuing to improve maternity safety including halving the number of stillbirths, maternal and neonatal deaths and serious brain injury by 2025; </w:t>
      </w:r>
    </w:p>
    <w:p w:rsidR="001C7077" w:rsidRDefault="001C7077" w:rsidP="001C7077">
      <w:pPr>
        <w:ind w:left="720"/>
        <w:contextualSpacing/>
        <w:rPr>
          <w:rFonts w:eastAsia="Times New Roman" w:cs="Arial"/>
          <w:bCs/>
          <w:sz w:val="22"/>
          <w:lang w:eastAsia="en-GB"/>
        </w:rPr>
      </w:pPr>
    </w:p>
    <w:p w:rsidR="001C7077" w:rsidRDefault="001C7077" w:rsidP="00B8621B">
      <w:pPr>
        <w:numPr>
          <w:ilvl w:val="0"/>
          <w:numId w:val="21"/>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Support older people through more personalised care and stronger community and primary care services; </w:t>
      </w:r>
    </w:p>
    <w:p w:rsidR="001C7077" w:rsidRDefault="001C7077" w:rsidP="001C7077">
      <w:pPr>
        <w:ind w:left="720"/>
        <w:contextualSpacing/>
        <w:rPr>
          <w:rFonts w:eastAsia="Times New Roman" w:cs="Arial"/>
          <w:bCs/>
          <w:sz w:val="22"/>
          <w:lang w:eastAsia="en-GB"/>
        </w:rPr>
      </w:pPr>
    </w:p>
    <w:p w:rsidR="001C7077" w:rsidRDefault="001C7077" w:rsidP="00B8621B">
      <w:pPr>
        <w:numPr>
          <w:ilvl w:val="0"/>
          <w:numId w:val="21"/>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Make digital health services a mainstream part of the NHS, so that patients in England will be able to access a digital GP offer. </w:t>
      </w:r>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To ensure that the NHS can achieve the ambitious improvements for patients over the next ten years, the NHS Long Term Plan also sets out how the NHS can overcome the challenges it faces, such as staff shortages and growing demand for services, by: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22"/>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Doing things differently: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23"/>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Give people more control over their own health and the care they receive;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23"/>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Encourage more collaboration between GPs, their teams and community services as ‘primary care networks’, to increase the services they can provide jointly; </w:t>
      </w:r>
    </w:p>
    <w:p w:rsidR="001C7077" w:rsidRDefault="001C7077" w:rsidP="001C7077">
      <w:pPr>
        <w:ind w:left="720"/>
        <w:contextualSpacing/>
        <w:rPr>
          <w:rFonts w:eastAsia="Times New Roman" w:cs="Arial"/>
          <w:bCs/>
          <w:sz w:val="22"/>
          <w:lang w:eastAsia="en-GB"/>
        </w:rPr>
      </w:pPr>
    </w:p>
    <w:p w:rsidR="001C7077" w:rsidRDefault="001C7077" w:rsidP="00B8621B">
      <w:pPr>
        <w:numPr>
          <w:ilvl w:val="0"/>
          <w:numId w:val="23"/>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Increase the focus on NHS organisations working with their local partners, as ‘Integrated Care Systems’, to plan and deliver services which meet the needs of their communities. </w:t>
      </w:r>
    </w:p>
    <w:p w:rsidR="001C7077" w:rsidRDefault="001C7077" w:rsidP="001C7077">
      <w:pPr>
        <w:autoSpaceDE w:val="0"/>
        <w:autoSpaceDN w:val="0"/>
        <w:adjustRightInd w:val="0"/>
        <w:rPr>
          <w:rFonts w:eastAsia="Times New Roman" w:cs="Arial"/>
          <w:b/>
          <w:bCs/>
          <w:sz w:val="22"/>
          <w:lang w:eastAsia="en-GB"/>
        </w:rPr>
      </w:pPr>
    </w:p>
    <w:p w:rsidR="001C7077" w:rsidRDefault="001C7077" w:rsidP="00B8621B">
      <w:pPr>
        <w:numPr>
          <w:ilvl w:val="0"/>
          <w:numId w:val="22"/>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Preventing illness and tackling health inequalities: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24"/>
        </w:numPr>
        <w:autoSpaceDE w:val="0"/>
        <w:autoSpaceDN w:val="0"/>
        <w:adjustRightInd w:val="0"/>
        <w:jc w:val="both"/>
        <w:rPr>
          <w:rFonts w:eastAsia="Times New Roman" w:cs="Arial"/>
          <w:b/>
          <w:bCs/>
          <w:sz w:val="22"/>
          <w:lang w:eastAsia="en-GB"/>
        </w:rPr>
      </w:pPr>
      <w:r>
        <w:rPr>
          <w:rFonts w:eastAsia="Times New Roman" w:cs="Arial"/>
          <w:bCs/>
          <w:sz w:val="22"/>
          <w:lang w:eastAsia="en-GB"/>
        </w:rPr>
        <w:t>Increasing contributions to tackling some of the most significant causes of ill health, including new action to help people stop smoking, overcome drinking problems and avoid Type 2 diabetes, with a particular focus on the communities and groups of people most affected by these problems.</w:t>
      </w:r>
      <w:r>
        <w:rPr>
          <w:rFonts w:eastAsia="Times New Roman" w:cs="Arial"/>
          <w:b/>
          <w:bCs/>
          <w:sz w:val="22"/>
          <w:lang w:eastAsia="en-GB"/>
        </w:rPr>
        <w:t xml:space="preserve"> </w:t>
      </w:r>
    </w:p>
    <w:p w:rsidR="001C7077" w:rsidRDefault="001C7077" w:rsidP="001C7077">
      <w:pPr>
        <w:autoSpaceDE w:val="0"/>
        <w:autoSpaceDN w:val="0"/>
        <w:adjustRightInd w:val="0"/>
        <w:rPr>
          <w:rFonts w:eastAsia="Times New Roman" w:cs="Arial"/>
          <w:b/>
          <w:bCs/>
          <w:sz w:val="22"/>
          <w:lang w:eastAsia="en-GB"/>
        </w:rPr>
      </w:pPr>
    </w:p>
    <w:p w:rsidR="001C7077" w:rsidRDefault="001C7077" w:rsidP="00B8621B">
      <w:pPr>
        <w:numPr>
          <w:ilvl w:val="0"/>
          <w:numId w:val="22"/>
        </w:numPr>
        <w:autoSpaceDE w:val="0"/>
        <w:autoSpaceDN w:val="0"/>
        <w:adjustRightInd w:val="0"/>
        <w:jc w:val="both"/>
        <w:rPr>
          <w:rFonts w:eastAsia="Times New Roman" w:cs="Arial"/>
          <w:b/>
          <w:bCs/>
          <w:sz w:val="22"/>
          <w:lang w:eastAsia="en-GB"/>
        </w:rPr>
      </w:pPr>
      <w:r>
        <w:rPr>
          <w:rFonts w:eastAsia="Times New Roman" w:cs="Arial"/>
          <w:bCs/>
          <w:sz w:val="22"/>
          <w:lang w:eastAsia="en-GB"/>
        </w:rPr>
        <w:t>Backing the NHS workforce:</w:t>
      </w:r>
      <w:r>
        <w:rPr>
          <w:rFonts w:eastAsia="Times New Roman" w:cs="Arial"/>
          <w:b/>
          <w:bCs/>
          <w:sz w:val="22"/>
          <w:lang w:eastAsia="en-GB"/>
        </w:rPr>
        <w:t xml:space="preserve">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25"/>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Continuing to increase the NHS workforce, training and recruiting more professionals – including thousands more clinical placements for undergraduate nurses, hundreds more medical school places, and more routes into the NHS such as apprenticeships; </w:t>
      </w:r>
    </w:p>
    <w:p w:rsidR="001C7077" w:rsidRDefault="001C7077" w:rsidP="001C7077">
      <w:pPr>
        <w:autoSpaceDE w:val="0"/>
        <w:autoSpaceDN w:val="0"/>
        <w:adjustRightInd w:val="0"/>
        <w:ind w:left="720"/>
        <w:contextualSpacing/>
        <w:jc w:val="both"/>
        <w:rPr>
          <w:rFonts w:eastAsia="Times New Roman" w:cs="Arial"/>
          <w:bCs/>
          <w:sz w:val="22"/>
          <w:lang w:eastAsia="en-GB"/>
        </w:rPr>
      </w:pPr>
    </w:p>
    <w:p w:rsidR="001C7077" w:rsidRDefault="001C7077" w:rsidP="00B8621B">
      <w:pPr>
        <w:numPr>
          <w:ilvl w:val="0"/>
          <w:numId w:val="25"/>
        </w:numPr>
        <w:autoSpaceDE w:val="0"/>
        <w:autoSpaceDN w:val="0"/>
        <w:adjustRightInd w:val="0"/>
        <w:jc w:val="both"/>
        <w:rPr>
          <w:rFonts w:eastAsia="Times New Roman" w:cs="Arial"/>
          <w:bCs/>
          <w:sz w:val="22"/>
          <w:lang w:eastAsia="en-GB"/>
        </w:rPr>
      </w:pPr>
      <w:r>
        <w:rPr>
          <w:rFonts w:eastAsia="Times New Roman" w:cs="Arial"/>
          <w:bCs/>
          <w:sz w:val="22"/>
          <w:lang w:eastAsia="en-GB"/>
        </w:rPr>
        <w:t>Developing new roles as described in the NHS Ten Year plan and the Primary Care Networks e.g. physicians associates, clinical pharmacists, social prescribers;</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25"/>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Making the NHS a better place to work, so more staff stay in the NHS and feel able to make better use of their skills and experience for patients. </w:t>
      </w:r>
    </w:p>
    <w:p w:rsidR="001C7077" w:rsidRDefault="001C7077" w:rsidP="001C7077">
      <w:pPr>
        <w:ind w:left="720"/>
        <w:contextualSpacing/>
        <w:rPr>
          <w:rFonts w:eastAsia="Times New Roman" w:cs="Arial"/>
          <w:b/>
          <w:bCs/>
          <w:sz w:val="22"/>
          <w:lang w:eastAsia="en-GB"/>
        </w:rPr>
      </w:pPr>
    </w:p>
    <w:p w:rsidR="001C7077" w:rsidRDefault="001C7077" w:rsidP="00B8621B">
      <w:pPr>
        <w:numPr>
          <w:ilvl w:val="0"/>
          <w:numId w:val="22"/>
        </w:numPr>
        <w:autoSpaceDE w:val="0"/>
        <w:autoSpaceDN w:val="0"/>
        <w:adjustRightInd w:val="0"/>
        <w:jc w:val="both"/>
        <w:rPr>
          <w:rFonts w:eastAsia="Times New Roman" w:cs="Arial"/>
          <w:b/>
          <w:bCs/>
          <w:sz w:val="22"/>
          <w:lang w:eastAsia="en-GB"/>
        </w:rPr>
      </w:pPr>
      <w:r>
        <w:rPr>
          <w:rFonts w:eastAsia="Times New Roman" w:cs="Arial"/>
          <w:bCs/>
          <w:sz w:val="22"/>
          <w:lang w:eastAsia="en-GB"/>
        </w:rPr>
        <w:t>Making better use of data and digital technology:</w:t>
      </w:r>
      <w:r>
        <w:rPr>
          <w:rFonts w:eastAsia="Times New Roman" w:cs="Arial"/>
          <w:b/>
          <w:bCs/>
          <w:sz w:val="22"/>
          <w:lang w:eastAsia="en-GB"/>
        </w:rPr>
        <w:t xml:space="preserve">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26"/>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Providing more convenient access to services and health information for patients, using the technology including GP on-line services and the new NHS App as a digital ‘front door’; </w:t>
      </w:r>
    </w:p>
    <w:p w:rsidR="001C7077" w:rsidRDefault="001C7077" w:rsidP="001C7077">
      <w:pPr>
        <w:autoSpaceDE w:val="0"/>
        <w:autoSpaceDN w:val="0"/>
        <w:adjustRightInd w:val="0"/>
        <w:ind w:left="720"/>
        <w:contextualSpacing/>
        <w:jc w:val="both"/>
        <w:rPr>
          <w:rFonts w:eastAsia="Times New Roman" w:cs="Arial"/>
          <w:bCs/>
          <w:sz w:val="22"/>
          <w:lang w:eastAsia="en-GB"/>
        </w:rPr>
      </w:pPr>
    </w:p>
    <w:p w:rsidR="001C7077" w:rsidRDefault="001C7077" w:rsidP="00B8621B">
      <w:pPr>
        <w:numPr>
          <w:ilvl w:val="0"/>
          <w:numId w:val="26"/>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Providing better access to digital tools and patient records for staff;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26"/>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Improve the planning and delivery of services based on the analysis of patient and population data.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22"/>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Getting the most out of taxpayers’ investment in the NHS: </w:t>
      </w:r>
    </w:p>
    <w:p w:rsidR="001C7077" w:rsidRDefault="001C7077" w:rsidP="001C7077">
      <w:pPr>
        <w:autoSpaceDE w:val="0"/>
        <w:autoSpaceDN w:val="0"/>
        <w:adjustRightInd w:val="0"/>
        <w:ind w:left="720"/>
        <w:contextualSpacing/>
        <w:jc w:val="both"/>
        <w:rPr>
          <w:rFonts w:eastAsia="Times New Roman" w:cs="Arial"/>
          <w:bCs/>
          <w:sz w:val="22"/>
          <w:lang w:eastAsia="en-GB"/>
        </w:rPr>
      </w:pPr>
    </w:p>
    <w:p w:rsidR="001C7077" w:rsidRDefault="001C7077" w:rsidP="00B8621B">
      <w:pPr>
        <w:numPr>
          <w:ilvl w:val="0"/>
          <w:numId w:val="27"/>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Continue working with doctors and other health professionals to identify ways to reduce duplication in how clinical services are delivered; </w:t>
      </w:r>
    </w:p>
    <w:p w:rsidR="001C7077" w:rsidRDefault="001C7077" w:rsidP="001C7077">
      <w:pPr>
        <w:autoSpaceDE w:val="0"/>
        <w:autoSpaceDN w:val="0"/>
        <w:adjustRightInd w:val="0"/>
        <w:ind w:left="720"/>
        <w:contextualSpacing/>
        <w:jc w:val="both"/>
        <w:rPr>
          <w:rFonts w:eastAsia="Times New Roman" w:cs="Arial"/>
          <w:bCs/>
          <w:sz w:val="22"/>
          <w:lang w:eastAsia="en-GB"/>
        </w:rPr>
      </w:pPr>
    </w:p>
    <w:p w:rsidR="001C7077" w:rsidRDefault="001C7077" w:rsidP="00B8621B">
      <w:pPr>
        <w:numPr>
          <w:ilvl w:val="0"/>
          <w:numId w:val="27"/>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Make better use of the NHS’ combined buying power to get commonly used products for cheaper;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27"/>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Reduce spend on administration. </w:t>
      </w:r>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A key focus of the NHS Long Term Plan is the need to incorporate effective use of technology to support the delivery of patient care in the future. In Lincolnshire, significant steps are already being taken including: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28"/>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Development and roll-out of the Lincolnshire Care Portal to provide health and care staff with integrated access to patient clinical information across different IT systems;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28"/>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The well-established Lincolnshire Clinical Assessment Service which runs alongside the NHS111 service and provides health information and advice to patients over the phone. </w:t>
      </w:r>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Going forwards, this work will be accelerated as a major component in delivery of the proposed new service models.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lastRenderedPageBreak/>
        <w:t>The design of any service at Pilgrim Hospital therefore needs to consider integration with local partners (LCHS, LPFT, EMAS, social care) and how technology can play a vital part in our services – educating patients as well as providing data on attendances and getting information back to GP’s about their patients care.</w:t>
      </w:r>
    </w:p>
    <w:p w:rsidR="001C7077" w:rsidRDefault="001C7077" w:rsidP="001C7077">
      <w:pPr>
        <w:autoSpaceDE w:val="0"/>
        <w:autoSpaceDN w:val="0"/>
        <w:adjustRightInd w:val="0"/>
        <w:jc w:val="both"/>
        <w:rPr>
          <w:rFonts w:eastAsia="Times New Roman" w:cs="Arial"/>
          <w:bCs/>
          <w:szCs w:val="24"/>
          <w:lang w:eastAsia="en-GB"/>
        </w:rPr>
      </w:pPr>
    </w:p>
    <w:p w:rsidR="001C7077" w:rsidRDefault="001C7077" w:rsidP="001C7077">
      <w:pPr>
        <w:autoSpaceDE w:val="0"/>
        <w:autoSpaceDN w:val="0"/>
        <w:adjustRightInd w:val="0"/>
        <w:jc w:val="both"/>
        <w:rPr>
          <w:rFonts w:eastAsia="Times New Roman" w:cs="Arial"/>
          <w:bCs/>
          <w:szCs w:val="24"/>
          <w:lang w:eastAsia="en-GB"/>
        </w:rPr>
      </w:pPr>
    </w:p>
    <w:p w:rsidR="001C7077" w:rsidRDefault="001C7077" w:rsidP="001C7077">
      <w:pPr>
        <w:spacing w:after="160"/>
        <w:ind w:left="360"/>
        <w:rPr>
          <w:rFonts w:ascii="Calibri" w:eastAsia="Times New Roman" w:hAnsi="Calibri" w:cs="Times New Roman"/>
          <w:color w:val="5A5A5A"/>
          <w:spacing w:val="15"/>
          <w:sz w:val="28"/>
          <w:szCs w:val="28"/>
          <w:lang w:eastAsia="en-GB"/>
        </w:rPr>
      </w:pPr>
      <w:bookmarkStart w:id="22" w:name="_Toc76551191"/>
      <w:bookmarkStart w:id="23" w:name="_Toc34395863"/>
      <w:r>
        <w:rPr>
          <w:rFonts w:ascii="Calibri" w:eastAsia="Times New Roman" w:hAnsi="Calibri" w:cs="Times New Roman"/>
          <w:color w:val="5A5A5A"/>
          <w:spacing w:val="15"/>
          <w:sz w:val="28"/>
          <w:szCs w:val="28"/>
          <w:lang w:eastAsia="en-GB"/>
        </w:rPr>
        <w:t>B.3</w:t>
      </w:r>
      <w:r>
        <w:rPr>
          <w:rFonts w:ascii="Calibri" w:eastAsia="Times New Roman" w:hAnsi="Calibri" w:cs="Times New Roman"/>
          <w:color w:val="5A5A5A"/>
          <w:spacing w:val="15"/>
          <w:sz w:val="28"/>
          <w:szCs w:val="28"/>
          <w:lang w:eastAsia="en-GB"/>
        </w:rPr>
        <w:tab/>
        <w:t>Five Year Forward View (October 2014)</w:t>
      </w:r>
      <w:bookmarkEnd w:id="22"/>
      <w:bookmarkEnd w:id="23"/>
      <w:r>
        <w:rPr>
          <w:rFonts w:ascii="Calibri" w:eastAsia="Times New Roman" w:hAnsi="Calibri" w:cs="Times New Roman"/>
          <w:color w:val="5A5A5A"/>
          <w:spacing w:val="15"/>
          <w:sz w:val="28"/>
          <w:szCs w:val="28"/>
          <w:lang w:eastAsia="en-GB"/>
        </w:rPr>
        <w:t xml:space="preserve"> </w:t>
      </w: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The NHS </w:t>
      </w:r>
      <w:r>
        <w:rPr>
          <w:rFonts w:eastAsia="Times New Roman" w:cs="Arial"/>
          <w:bCs/>
          <w:i/>
          <w:iCs/>
          <w:sz w:val="22"/>
          <w:lang w:eastAsia="en-GB"/>
        </w:rPr>
        <w:t>Five Year Forward View</w:t>
      </w:r>
      <w:r>
        <w:rPr>
          <w:rFonts w:eastAsia="Times New Roman" w:cs="Arial"/>
          <w:bCs/>
          <w:sz w:val="22"/>
          <w:lang w:eastAsia="en-GB"/>
        </w:rPr>
        <w:t xml:space="preserve">, published in October 2014 by NHS England, set out a positive vision for the future based around seven new models of care: </w:t>
      </w:r>
    </w:p>
    <w:p w:rsidR="001C7077" w:rsidRDefault="001C7077" w:rsidP="001C7077">
      <w:pPr>
        <w:autoSpaceDE w:val="0"/>
        <w:autoSpaceDN w:val="0"/>
        <w:adjustRightInd w:val="0"/>
        <w:rPr>
          <w:rFonts w:eastAsia="Times New Roman" w:cs="Arial"/>
          <w:b/>
          <w:bCs/>
          <w:i/>
          <w:iCs/>
          <w:sz w:val="22"/>
          <w:lang w:eastAsia="en-GB"/>
        </w:rPr>
      </w:pPr>
    </w:p>
    <w:p w:rsidR="001C7077" w:rsidRDefault="001C7077" w:rsidP="001C7077">
      <w:pPr>
        <w:autoSpaceDE w:val="0"/>
        <w:autoSpaceDN w:val="0"/>
        <w:adjustRightInd w:val="0"/>
        <w:jc w:val="both"/>
        <w:rPr>
          <w:rFonts w:eastAsia="Times New Roman" w:cs="Arial"/>
          <w:bCs/>
          <w:i/>
          <w:iCs/>
          <w:sz w:val="22"/>
          <w:lang w:eastAsia="en-GB"/>
        </w:rPr>
      </w:pPr>
      <w:r>
        <w:rPr>
          <w:rFonts w:eastAsia="Times New Roman" w:cs="Arial"/>
          <w:bCs/>
          <w:i/>
          <w:iCs/>
          <w:sz w:val="22"/>
          <w:lang w:eastAsia="en-GB"/>
        </w:rPr>
        <w:t xml:space="preserve">Multispecialty community providers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Under this new care model GP practices come together in networks or federations and collaborate with other health and social care professionals to provide more integrated services outside of hospitals.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i/>
          <w:iCs/>
          <w:sz w:val="22"/>
          <w:lang w:eastAsia="en-GB"/>
        </w:rPr>
      </w:pPr>
      <w:r>
        <w:rPr>
          <w:rFonts w:eastAsia="Times New Roman" w:cs="Arial"/>
          <w:bCs/>
          <w:i/>
          <w:iCs/>
          <w:sz w:val="22"/>
          <w:lang w:eastAsia="en-GB"/>
        </w:rPr>
        <w:t xml:space="preserve">Urgent and emergency care networks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Under this new care model, the urgent and emergency care system should be simplified to provide better integration between Emergency Departments and other services that provide and support urgent treatments.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i/>
          <w:iCs/>
          <w:sz w:val="22"/>
          <w:lang w:eastAsia="en-GB"/>
        </w:rPr>
      </w:pPr>
      <w:r>
        <w:rPr>
          <w:rFonts w:eastAsia="Times New Roman" w:cs="Arial"/>
          <w:bCs/>
          <w:i/>
          <w:iCs/>
          <w:sz w:val="22"/>
          <w:lang w:eastAsia="en-GB"/>
        </w:rPr>
        <w:t xml:space="preserve">Specialised care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The NHS five year forward view outlined that, where there is strong evidence for concentrating care in specialist centres (as in stroke or some cancer services), the NHS in England should seek to drive consolidation through a programme of three-year rolling reviews.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i/>
          <w:iCs/>
          <w:sz w:val="22"/>
          <w:lang w:eastAsia="en-GB"/>
        </w:rPr>
      </w:pPr>
      <w:r>
        <w:rPr>
          <w:rFonts w:eastAsia="Times New Roman" w:cs="Arial"/>
          <w:bCs/>
          <w:i/>
          <w:iCs/>
          <w:sz w:val="22"/>
          <w:lang w:eastAsia="en-GB"/>
        </w:rPr>
        <w:t xml:space="preserve">Enhanced health in care homes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Under this new care model NHS services should work in partnership with care home providers and local authority services to develop new models of care and support for older people.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i/>
          <w:iCs/>
          <w:sz w:val="22"/>
          <w:lang w:eastAsia="en-GB"/>
        </w:rPr>
      </w:pPr>
      <w:r>
        <w:rPr>
          <w:rFonts w:eastAsia="Times New Roman" w:cs="Arial"/>
          <w:bCs/>
          <w:i/>
          <w:iCs/>
          <w:sz w:val="22"/>
          <w:lang w:eastAsia="en-GB"/>
        </w:rPr>
        <w:t xml:space="preserve">Primary and acute care systems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Under this new care model, a single entity or group of providers take responsibility for delivering the range of primary, community, mental health and hospital services for their local population, to improve co-ordination of services and move care out of hospital where appropriate.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i/>
          <w:iCs/>
          <w:sz w:val="22"/>
          <w:lang w:eastAsia="en-GB"/>
        </w:rPr>
      </w:pPr>
      <w:r>
        <w:rPr>
          <w:rFonts w:eastAsia="Times New Roman" w:cs="Arial"/>
          <w:bCs/>
          <w:i/>
          <w:iCs/>
          <w:sz w:val="22"/>
          <w:lang w:eastAsia="en-GB"/>
        </w:rPr>
        <w:t xml:space="preserve">Acute care collaborations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Acute care collaborations (ACCs) were announced as a new type of vanguard by NHS England and other national bodies in September 2015. ACCs aim to link together hospital services to improve care quality and financial sustainability.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i/>
          <w:iCs/>
          <w:sz w:val="22"/>
          <w:lang w:eastAsia="en-GB"/>
        </w:rPr>
      </w:pPr>
      <w:r>
        <w:rPr>
          <w:rFonts w:eastAsia="Times New Roman" w:cs="Arial"/>
          <w:bCs/>
          <w:i/>
          <w:iCs/>
          <w:sz w:val="22"/>
          <w:lang w:eastAsia="en-GB"/>
        </w:rPr>
        <w:t xml:space="preserve">Modern maternity services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The NHS five year forward view proposed a new care model for modern maternity services, stating that a review of future models for maternity units would recommend how best to sustain and develop maternity units across the NHS in England.</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lastRenderedPageBreak/>
        <w:t xml:space="preserve">As with the long term plan, integration of the emergency department with other providers in an “Integrated Care Network” is pivotal in the design of </w:t>
      </w:r>
      <w:proofErr w:type="gramStart"/>
      <w:r>
        <w:rPr>
          <w:rFonts w:eastAsia="Times New Roman" w:cs="Arial"/>
          <w:bCs/>
          <w:sz w:val="22"/>
          <w:lang w:eastAsia="en-GB"/>
        </w:rPr>
        <w:t>Pilgrim Hospitals</w:t>
      </w:r>
      <w:proofErr w:type="gramEnd"/>
      <w:r>
        <w:rPr>
          <w:rFonts w:eastAsia="Times New Roman" w:cs="Arial"/>
          <w:bCs/>
          <w:sz w:val="22"/>
          <w:lang w:eastAsia="en-GB"/>
        </w:rPr>
        <w:t xml:space="preserve"> services.  With the current service there is an entrance to the emergency department as well as an entrance in Primary Care Streaming which creates confusion.  A single entrance with service providers working together with referral pathways into the “majors” and “</w:t>
      </w:r>
      <w:proofErr w:type="spellStart"/>
      <w:r>
        <w:rPr>
          <w:rFonts w:eastAsia="Times New Roman" w:cs="Arial"/>
          <w:bCs/>
          <w:sz w:val="22"/>
          <w:lang w:eastAsia="en-GB"/>
        </w:rPr>
        <w:t>resus</w:t>
      </w:r>
      <w:proofErr w:type="spellEnd"/>
      <w:r>
        <w:rPr>
          <w:rFonts w:eastAsia="Times New Roman" w:cs="Arial"/>
          <w:bCs/>
          <w:sz w:val="22"/>
          <w:lang w:eastAsia="en-GB"/>
        </w:rPr>
        <w:t>” areas and “minors” patients being seen alongside primary care work within the UTC area will remove any decisions patients have to make about where to go to receive care.</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Pharmacy provision at Pilgrim Hospital is also an issue, being located towards the back of the hospital in a space insufficient for the workload.  The community element is co-located with the hospital pharmacy but by moving this to the front door more patients that would otherwise attend ED could self-care and receive advice without attending.  This would also release much needed space for the existing hospital pharmacy services.</w:t>
      </w:r>
    </w:p>
    <w:p w:rsidR="001C7077" w:rsidRDefault="001C7077" w:rsidP="001C7077">
      <w:pPr>
        <w:autoSpaceDE w:val="0"/>
        <w:autoSpaceDN w:val="0"/>
        <w:adjustRightInd w:val="0"/>
        <w:jc w:val="both"/>
        <w:rPr>
          <w:rFonts w:eastAsia="Times New Roman" w:cs="Arial"/>
          <w:bCs/>
          <w:szCs w:val="24"/>
          <w:lang w:eastAsia="en-GB"/>
        </w:rPr>
      </w:pPr>
      <w:r>
        <w:rPr>
          <w:rFonts w:eastAsia="Times New Roman" w:cs="Arial"/>
          <w:bCs/>
          <w:szCs w:val="24"/>
          <w:lang w:eastAsia="en-GB"/>
        </w:rPr>
        <w:t xml:space="preserve"> </w:t>
      </w:r>
    </w:p>
    <w:p w:rsidR="001C7077" w:rsidRDefault="001C7077" w:rsidP="001C7077">
      <w:pPr>
        <w:autoSpaceDE w:val="0"/>
        <w:autoSpaceDN w:val="0"/>
        <w:adjustRightInd w:val="0"/>
        <w:jc w:val="both"/>
        <w:rPr>
          <w:rFonts w:eastAsia="Times New Roman" w:cs="Arial"/>
          <w:bCs/>
          <w:szCs w:val="24"/>
          <w:lang w:eastAsia="en-GB"/>
        </w:rPr>
      </w:pPr>
    </w:p>
    <w:p w:rsidR="001C7077" w:rsidRDefault="001C7077" w:rsidP="001C7077">
      <w:pPr>
        <w:autoSpaceDE w:val="0"/>
        <w:autoSpaceDN w:val="0"/>
        <w:adjustRightInd w:val="0"/>
        <w:spacing w:after="160"/>
        <w:ind w:left="360"/>
        <w:rPr>
          <w:rFonts w:ascii="Calibri" w:eastAsia="Times New Roman" w:hAnsi="Calibri" w:cs="Arial"/>
          <w:bCs/>
          <w:color w:val="5A5A5A"/>
          <w:spacing w:val="15"/>
          <w:sz w:val="28"/>
          <w:szCs w:val="28"/>
          <w:lang w:eastAsia="en-GB"/>
        </w:rPr>
      </w:pPr>
      <w:bookmarkStart w:id="24" w:name="_Toc76551192"/>
      <w:bookmarkStart w:id="25" w:name="_Toc34395864"/>
      <w:r>
        <w:rPr>
          <w:rFonts w:ascii="Calibri" w:eastAsia="Times New Roman" w:hAnsi="Calibri" w:cs="Times New Roman"/>
          <w:color w:val="5A5A5A"/>
          <w:spacing w:val="15"/>
          <w:sz w:val="28"/>
          <w:szCs w:val="28"/>
          <w:lang w:eastAsia="en-GB"/>
        </w:rPr>
        <w:t>B.4</w:t>
      </w:r>
      <w:r>
        <w:rPr>
          <w:rFonts w:ascii="Calibri" w:eastAsia="Times New Roman" w:hAnsi="Calibri" w:cs="Times New Roman"/>
          <w:color w:val="5A5A5A"/>
          <w:spacing w:val="15"/>
          <w:sz w:val="28"/>
          <w:szCs w:val="28"/>
          <w:lang w:eastAsia="en-GB"/>
        </w:rPr>
        <w:tab/>
        <w:t>Next Steps on the NHS Five Year Forward View (March 2017)</w:t>
      </w:r>
      <w:bookmarkEnd w:id="24"/>
      <w:bookmarkEnd w:id="25"/>
      <w:r>
        <w:rPr>
          <w:rFonts w:ascii="Calibri" w:eastAsia="Times New Roman" w:hAnsi="Calibri" w:cs="Times New Roman"/>
          <w:color w:val="5A5A5A"/>
          <w:spacing w:val="15"/>
          <w:sz w:val="28"/>
          <w:szCs w:val="28"/>
          <w:lang w:eastAsia="en-GB"/>
        </w:rPr>
        <w:t xml:space="preserve"> </w:t>
      </w: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This delivery plan, drafted by both NHS Improvement (NHSI) and NHS England (NHSE), outlined progress on the ambitions set out in the Five year forward view since its original publication in October 2014, and defined what still needed to be achieved over the final two years of the plan. It also outlined priorities for the service specifically in 2017/18 as follows: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29"/>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Deliver financial balance across the NHS; </w:t>
      </w:r>
    </w:p>
    <w:p w:rsidR="001C7077" w:rsidRDefault="001C7077" w:rsidP="001C7077">
      <w:pPr>
        <w:autoSpaceDE w:val="0"/>
        <w:autoSpaceDN w:val="0"/>
        <w:adjustRightInd w:val="0"/>
        <w:ind w:left="720"/>
        <w:contextualSpacing/>
        <w:jc w:val="both"/>
        <w:rPr>
          <w:rFonts w:eastAsia="Times New Roman" w:cs="Arial"/>
          <w:bCs/>
          <w:sz w:val="22"/>
          <w:lang w:eastAsia="en-GB"/>
        </w:rPr>
      </w:pPr>
    </w:p>
    <w:p w:rsidR="001C7077" w:rsidRDefault="001C7077" w:rsidP="00B8621B">
      <w:pPr>
        <w:numPr>
          <w:ilvl w:val="0"/>
          <w:numId w:val="29"/>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Improve ED performance;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29"/>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Strengthen access to GP &amp; primary care services;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29"/>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Improve cancer and mental health services. </w:t>
      </w:r>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autoSpaceDE w:val="0"/>
        <w:autoSpaceDN w:val="0"/>
        <w:adjustRightInd w:val="0"/>
        <w:jc w:val="both"/>
        <w:rPr>
          <w:rFonts w:eastAsia="Times New Roman" w:cs="Arial"/>
          <w:b/>
          <w:bCs/>
          <w:sz w:val="22"/>
          <w:lang w:eastAsia="en-GB"/>
        </w:rPr>
      </w:pPr>
      <w:r>
        <w:rPr>
          <w:rFonts w:eastAsia="Times New Roman" w:cs="Arial"/>
          <w:bCs/>
          <w:sz w:val="22"/>
          <w:lang w:eastAsia="en-GB"/>
        </w:rPr>
        <w:t>Specifically, the plan sought to strike a balance between realism about the challenges facing the NHS today together with promises to improve care. These promises focussed on urgent and emergency care, primary care, cancer, and mental health.  They included delivering the four hours standard in all emergency departments during 2018, providing extended access to general practice appointments in the evenings and weekends in all areas of the country by March 2019, introducing a new standard to give patients a definitive cancer diagnosis within 28 days after GP referral by 2020, and increasing the availability of psychological therapies and mental health services for children and young people.</w:t>
      </w:r>
      <w:r>
        <w:rPr>
          <w:rFonts w:eastAsia="Times New Roman" w:cs="Arial"/>
          <w:b/>
          <w:bCs/>
          <w:sz w:val="22"/>
          <w:lang w:eastAsia="en-GB"/>
        </w:rPr>
        <w:t xml:space="preserve"> </w:t>
      </w:r>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The ‘Next Steps’ also set out that one of the key ways for the achievement of longer term transformational change, would be to: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i/>
          <w:iCs/>
          <w:sz w:val="22"/>
          <w:lang w:eastAsia="en-GB"/>
        </w:rPr>
      </w:pPr>
      <w:r>
        <w:rPr>
          <w:rFonts w:eastAsia="Times New Roman" w:cs="Arial"/>
          <w:bCs/>
          <w:i/>
          <w:iCs/>
          <w:sz w:val="22"/>
          <w:lang w:eastAsia="en-GB"/>
        </w:rPr>
        <w:t xml:space="preserve">‘Encourage practices to work together in ‘hubs’ or networks.  Most GP surgeries will increasingly work together in primary care networks or hubs.  This is because a combined patient population of at least 30,000-50,000 allows practices to share community nursing, mental health, and clinical pharmacy teams, expand diagnostic facilities, and pool responsibility for urgent care and extended access.  There are various approaches to achieving this that are now being introduced across England, including federations of practices, ‘super-surgeries’, primary care homes, and ‘multispecialty community providers’. </w:t>
      </w:r>
    </w:p>
    <w:p w:rsidR="001C7077" w:rsidRDefault="001C7077" w:rsidP="001C7077">
      <w:pPr>
        <w:rPr>
          <w:rFonts w:ascii="Calibri" w:eastAsia="Times New Roman" w:hAnsi="Calibri" w:cs="Times New Roman"/>
          <w:color w:val="5A5A5A"/>
          <w:spacing w:val="15"/>
          <w:sz w:val="22"/>
          <w:lang w:eastAsia="en-GB"/>
        </w:rPr>
      </w:pPr>
    </w:p>
    <w:p w:rsidR="001C7077" w:rsidRDefault="001C7077" w:rsidP="001C7077">
      <w:pPr>
        <w:jc w:val="both"/>
        <w:rPr>
          <w:rFonts w:eastAsia="Times New Roman" w:cs="Times New Roman"/>
          <w:sz w:val="22"/>
          <w:lang w:eastAsia="en-GB"/>
        </w:rPr>
      </w:pPr>
      <w:r>
        <w:rPr>
          <w:rFonts w:eastAsia="Times New Roman" w:cs="Times New Roman"/>
          <w:sz w:val="22"/>
          <w:lang w:eastAsia="en-GB"/>
        </w:rPr>
        <w:lastRenderedPageBreak/>
        <w:t>Extended access to GP and primary care services has been established in the Boston area for some time.  However, the service is intermittent and bringing it into the UTC with collocated services will help to create more consistent provision.</w:t>
      </w:r>
    </w:p>
    <w:p w:rsidR="001C7077" w:rsidRDefault="001C7077" w:rsidP="001C7077">
      <w:pPr>
        <w:rPr>
          <w:rFonts w:eastAsia="Times New Roman" w:cs="Times New Roman"/>
          <w:szCs w:val="24"/>
          <w:lang w:eastAsia="en-GB"/>
        </w:rPr>
      </w:pPr>
    </w:p>
    <w:p w:rsidR="001C7077" w:rsidRDefault="001C7077" w:rsidP="001C7077">
      <w:pPr>
        <w:autoSpaceDE w:val="0"/>
        <w:autoSpaceDN w:val="0"/>
        <w:adjustRightInd w:val="0"/>
        <w:ind w:left="360"/>
        <w:jc w:val="both"/>
        <w:rPr>
          <w:rFonts w:ascii="Calibri" w:eastAsia="Times New Roman" w:hAnsi="Calibri" w:cs="Times New Roman"/>
          <w:color w:val="5A5A5A"/>
          <w:spacing w:val="15"/>
          <w:sz w:val="28"/>
          <w:szCs w:val="28"/>
          <w:lang w:eastAsia="en-GB"/>
        </w:rPr>
      </w:pPr>
      <w:bookmarkStart w:id="26" w:name="_Toc76551193"/>
      <w:bookmarkStart w:id="27" w:name="_Toc34395865"/>
      <w:r>
        <w:rPr>
          <w:rFonts w:ascii="Calibri" w:eastAsia="Times New Roman" w:hAnsi="Calibri" w:cs="Calibri"/>
          <w:color w:val="5A5A5A"/>
          <w:spacing w:val="15"/>
          <w:sz w:val="28"/>
          <w:szCs w:val="28"/>
          <w:lang w:eastAsia="en-GB"/>
        </w:rPr>
        <w:t>B.5</w:t>
      </w:r>
      <w:r>
        <w:rPr>
          <w:rFonts w:ascii="Calibri" w:eastAsia="Times New Roman" w:hAnsi="Calibri" w:cs="Calibri"/>
          <w:color w:val="5A5A5A"/>
          <w:spacing w:val="15"/>
          <w:sz w:val="28"/>
          <w:szCs w:val="28"/>
          <w:lang w:eastAsia="en-GB"/>
        </w:rPr>
        <w:tab/>
        <w:t>Gene</w:t>
      </w:r>
      <w:r>
        <w:rPr>
          <w:rFonts w:ascii="Calibri" w:eastAsia="Times New Roman" w:hAnsi="Calibri" w:cs="Times New Roman"/>
          <w:color w:val="5A5A5A"/>
          <w:spacing w:val="15"/>
          <w:sz w:val="28"/>
          <w:szCs w:val="28"/>
          <w:lang w:eastAsia="en-GB"/>
        </w:rPr>
        <w:t>ral Practice: Forward View (April 2016)</w:t>
      </w:r>
      <w:bookmarkEnd w:id="26"/>
      <w:bookmarkEnd w:id="27"/>
    </w:p>
    <w:p w:rsidR="001C7077" w:rsidRDefault="001C7077" w:rsidP="001C7077">
      <w:pPr>
        <w:rPr>
          <w:rFonts w:eastAsia="Times New Roman" w:cs="Times New Roman"/>
          <w:szCs w:val="24"/>
          <w:lang w:eastAsia="en-GB"/>
        </w:rPr>
      </w:pPr>
    </w:p>
    <w:p w:rsidR="001C7077" w:rsidRDefault="001C7077" w:rsidP="001C7077">
      <w:pPr>
        <w:jc w:val="both"/>
        <w:rPr>
          <w:rFonts w:eastAsia="Times New Roman" w:cs="Times New Roman"/>
          <w:bCs/>
          <w:sz w:val="22"/>
          <w:lang w:eastAsia="en-GB"/>
        </w:rPr>
      </w:pPr>
      <w:r>
        <w:rPr>
          <w:rFonts w:eastAsia="Times New Roman" w:cs="Times New Roman"/>
          <w:bCs/>
          <w:sz w:val="22"/>
          <w:lang w:eastAsia="en-GB"/>
        </w:rPr>
        <w:t xml:space="preserve">The </w:t>
      </w:r>
      <w:r>
        <w:rPr>
          <w:rFonts w:eastAsia="Times New Roman" w:cs="Times New Roman"/>
          <w:bCs/>
          <w:i/>
          <w:iCs/>
          <w:sz w:val="22"/>
          <w:lang w:eastAsia="en-GB"/>
        </w:rPr>
        <w:t>General Practice Forward View</w:t>
      </w:r>
      <w:r>
        <w:rPr>
          <w:rFonts w:eastAsia="Times New Roman" w:cs="Times New Roman"/>
          <w:bCs/>
          <w:sz w:val="22"/>
          <w:lang w:eastAsia="en-GB"/>
        </w:rPr>
        <w:t xml:space="preserve">, published in April 2016, set out a plan, backed by significant national investment, to stabilise and transform general practice.  It was developed with Health Education England and in discussion with the Royal College of GPs and other GP representatives. </w:t>
      </w:r>
    </w:p>
    <w:p w:rsidR="001C7077" w:rsidRDefault="001C7077" w:rsidP="001C7077">
      <w:pPr>
        <w:rPr>
          <w:rFonts w:eastAsia="Times New Roman" w:cs="Times New Roman"/>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It committed to an extra £2.4 billion a year to support general practice services by 2020/21, supplemented by a five-year national sustainability and transformation package to support GP practices.  The plan also contained specific, practical and funded steps to grow and develop workforce, drive efficiencies in workload and relieve demand, modernise infrastructure and technology, and support local practices to redesign the way modern primary care is offered to patients. </w:t>
      </w:r>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ind w:left="360"/>
        <w:rPr>
          <w:rFonts w:ascii="Calibri" w:eastAsia="Times New Roman" w:hAnsi="Calibri" w:cs="Times New Roman"/>
          <w:color w:val="5A5A5A"/>
          <w:spacing w:val="15"/>
          <w:sz w:val="28"/>
          <w:szCs w:val="28"/>
          <w:lang w:eastAsia="en-GB"/>
        </w:rPr>
      </w:pPr>
      <w:bookmarkStart w:id="28" w:name="_Toc76551194"/>
      <w:bookmarkStart w:id="29" w:name="_Toc34395866"/>
      <w:r>
        <w:rPr>
          <w:rFonts w:ascii="Calibri" w:eastAsia="Times New Roman" w:hAnsi="Calibri" w:cs="Times New Roman"/>
          <w:color w:val="5A5A5A"/>
          <w:spacing w:val="15"/>
          <w:sz w:val="28"/>
          <w:szCs w:val="28"/>
          <w:lang w:eastAsia="en-GB"/>
        </w:rPr>
        <w:t>B.6</w:t>
      </w:r>
      <w:r>
        <w:rPr>
          <w:rFonts w:ascii="Calibri" w:eastAsia="Times New Roman" w:hAnsi="Calibri" w:cs="Times New Roman"/>
          <w:color w:val="5A5A5A"/>
          <w:spacing w:val="15"/>
          <w:sz w:val="28"/>
          <w:szCs w:val="28"/>
          <w:lang w:eastAsia="en-GB"/>
        </w:rPr>
        <w:tab/>
        <w:t>Urgent Treatment Centres</w:t>
      </w:r>
      <w:bookmarkEnd w:id="28"/>
      <w:bookmarkEnd w:id="29"/>
      <w:r>
        <w:rPr>
          <w:rFonts w:ascii="Calibri" w:eastAsia="Times New Roman" w:hAnsi="Calibri" w:cs="Times New Roman"/>
          <w:color w:val="5A5A5A"/>
          <w:spacing w:val="15"/>
          <w:sz w:val="28"/>
          <w:szCs w:val="28"/>
          <w:lang w:eastAsia="en-GB"/>
        </w:rPr>
        <w:t xml:space="preserve"> </w:t>
      </w:r>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autoSpaceDE w:val="0"/>
        <w:autoSpaceDN w:val="0"/>
        <w:adjustRightInd w:val="0"/>
        <w:rPr>
          <w:rFonts w:eastAsia="Times New Roman" w:cs="Arial"/>
          <w:bCs/>
          <w:sz w:val="22"/>
          <w:lang w:eastAsia="en-GB"/>
        </w:rPr>
      </w:pPr>
      <w:r>
        <w:rPr>
          <w:rFonts w:eastAsia="Times New Roman" w:cs="Arial"/>
          <w:bCs/>
          <w:i/>
          <w:iCs/>
          <w:sz w:val="22"/>
          <w:lang w:eastAsia="en-GB"/>
        </w:rPr>
        <w:t xml:space="preserve">Urgent Treatment Centres - Principles and Standards </w:t>
      </w:r>
      <w:r>
        <w:rPr>
          <w:rFonts w:eastAsia="Times New Roman" w:cs="Arial"/>
          <w:bCs/>
          <w:sz w:val="22"/>
          <w:lang w:eastAsia="en-GB"/>
        </w:rPr>
        <w:t xml:space="preserve">was published in July 2017 to support simplification of the urgent and emergency care system and to provide better integration between Emergency Departments and other services that provide and support urgent treatments.  The document provided a specification for UTCs to establish as much commonality as possible, setting out a series of clear expectations as follows. </w:t>
      </w:r>
    </w:p>
    <w:p w:rsidR="001C7077" w:rsidRDefault="001C7077" w:rsidP="001C7077">
      <w:pPr>
        <w:autoSpaceDE w:val="0"/>
        <w:autoSpaceDN w:val="0"/>
        <w:adjustRightInd w:val="0"/>
        <w:rPr>
          <w:rFonts w:eastAsia="Times New Roman" w:cs="Arial"/>
          <w:bCs/>
          <w:sz w:val="22"/>
          <w:lang w:eastAsia="en-GB"/>
        </w:rPr>
      </w:pPr>
      <w:r>
        <w:rPr>
          <w:rFonts w:eastAsia="Times New Roman" w:cs="Arial"/>
          <w:bCs/>
          <w:sz w:val="22"/>
          <w:lang w:eastAsia="en-GB"/>
        </w:rPr>
        <w:t xml:space="preserve">By December 2019 patients and the public will: </w:t>
      </w:r>
    </w:p>
    <w:p w:rsidR="001C7077" w:rsidRDefault="001C7077" w:rsidP="001C7077">
      <w:pPr>
        <w:autoSpaceDE w:val="0"/>
        <w:autoSpaceDN w:val="0"/>
        <w:adjustRightInd w:val="0"/>
        <w:rPr>
          <w:rFonts w:eastAsia="Times New Roman" w:cs="Arial"/>
          <w:b/>
          <w:bCs/>
          <w:sz w:val="22"/>
          <w:lang w:eastAsia="en-GB"/>
        </w:rPr>
      </w:pPr>
    </w:p>
    <w:p w:rsidR="001C7077" w:rsidRDefault="001C7077" w:rsidP="00B8621B">
      <w:pPr>
        <w:numPr>
          <w:ilvl w:val="0"/>
          <w:numId w:val="30"/>
        </w:numPr>
        <w:autoSpaceDE w:val="0"/>
        <w:autoSpaceDN w:val="0"/>
        <w:adjustRightInd w:val="0"/>
        <w:rPr>
          <w:rFonts w:eastAsia="Times New Roman" w:cs="Arial"/>
          <w:bCs/>
          <w:sz w:val="22"/>
          <w:lang w:eastAsia="en-GB"/>
        </w:rPr>
      </w:pPr>
      <w:r>
        <w:rPr>
          <w:rFonts w:eastAsia="Times New Roman" w:cs="Arial"/>
          <w:bCs/>
          <w:sz w:val="22"/>
          <w:lang w:eastAsia="en-GB"/>
        </w:rPr>
        <w:t>Be able to access urgent treatment centres that are open at least 12 hours a day, GP-led, staffed by GPs, nurses and other clinicians, with access to simple diagnostics, e.g. urinalysis, ECG and in some cases X-ray;</w:t>
      </w:r>
    </w:p>
    <w:p w:rsidR="001C7077" w:rsidRDefault="001C7077" w:rsidP="001C7077">
      <w:pPr>
        <w:autoSpaceDE w:val="0"/>
        <w:autoSpaceDN w:val="0"/>
        <w:adjustRightInd w:val="0"/>
        <w:rPr>
          <w:rFonts w:eastAsia="Times New Roman" w:cs="Arial"/>
          <w:bCs/>
          <w:sz w:val="22"/>
          <w:lang w:eastAsia="en-GB"/>
        </w:rPr>
      </w:pPr>
    </w:p>
    <w:p w:rsidR="001C7077" w:rsidRDefault="001C7077" w:rsidP="00B8621B">
      <w:pPr>
        <w:numPr>
          <w:ilvl w:val="0"/>
          <w:numId w:val="30"/>
        </w:numPr>
        <w:autoSpaceDE w:val="0"/>
        <w:autoSpaceDN w:val="0"/>
        <w:adjustRightInd w:val="0"/>
        <w:rPr>
          <w:rFonts w:eastAsia="Times New Roman" w:cs="Arial"/>
          <w:bCs/>
          <w:sz w:val="22"/>
          <w:lang w:eastAsia="en-GB"/>
        </w:rPr>
      </w:pPr>
      <w:r>
        <w:rPr>
          <w:rFonts w:eastAsia="Times New Roman" w:cs="Arial"/>
          <w:bCs/>
          <w:sz w:val="22"/>
          <w:lang w:eastAsia="en-GB"/>
        </w:rPr>
        <w:t>Have a consistent route to access urgent appointments offered within 4hrs and booked through NHS 111, ambulance services and general practice. A walk-in access option will also be retained;</w:t>
      </w:r>
    </w:p>
    <w:p w:rsidR="001C7077" w:rsidRDefault="001C7077" w:rsidP="001C7077">
      <w:pPr>
        <w:ind w:left="720"/>
        <w:contextualSpacing/>
        <w:rPr>
          <w:rFonts w:eastAsia="Times New Roman" w:cs="Arial"/>
          <w:bCs/>
          <w:sz w:val="22"/>
          <w:lang w:eastAsia="en-GB"/>
        </w:rPr>
      </w:pPr>
    </w:p>
    <w:p w:rsidR="001C7077" w:rsidRDefault="001C7077" w:rsidP="00B8621B">
      <w:pPr>
        <w:numPr>
          <w:ilvl w:val="0"/>
          <w:numId w:val="30"/>
        </w:numPr>
        <w:autoSpaceDE w:val="0"/>
        <w:autoSpaceDN w:val="0"/>
        <w:adjustRightInd w:val="0"/>
        <w:rPr>
          <w:rFonts w:eastAsia="Times New Roman" w:cs="Arial"/>
          <w:bCs/>
          <w:sz w:val="22"/>
          <w:lang w:eastAsia="en-GB"/>
        </w:rPr>
      </w:pPr>
      <w:r>
        <w:rPr>
          <w:rFonts w:eastAsia="Times New Roman" w:cs="Arial"/>
          <w:bCs/>
          <w:sz w:val="22"/>
          <w:lang w:eastAsia="en-GB"/>
        </w:rPr>
        <w:t>Increasingly be able to access routine and same-day appointments, and out-of-hours general practice, for both urgent and routine appointments, at the same facility, where geographically appropriate;</w:t>
      </w:r>
    </w:p>
    <w:p w:rsidR="001C7077" w:rsidRDefault="001C7077" w:rsidP="001C7077">
      <w:pPr>
        <w:autoSpaceDE w:val="0"/>
        <w:autoSpaceDN w:val="0"/>
        <w:adjustRightInd w:val="0"/>
        <w:rPr>
          <w:rFonts w:eastAsia="Times New Roman" w:cs="Arial"/>
          <w:bCs/>
          <w:sz w:val="22"/>
          <w:lang w:eastAsia="en-GB"/>
        </w:rPr>
      </w:pPr>
    </w:p>
    <w:p w:rsidR="001C7077" w:rsidRDefault="001C7077" w:rsidP="00B8621B">
      <w:pPr>
        <w:numPr>
          <w:ilvl w:val="0"/>
          <w:numId w:val="30"/>
        </w:numPr>
        <w:autoSpaceDE w:val="0"/>
        <w:autoSpaceDN w:val="0"/>
        <w:adjustRightInd w:val="0"/>
        <w:rPr>
          <w:rFonts w:eastAsia="Times New Roman" w:cs="Arial"/>
          <w:bCs/>
          <w:sz w:val="22"/>
          <w:lang w:eastAsia="en-GB"/>
        </w:rPr>
      </w:pPr>
      <w:r>
        <w:rPr>
          <w:rFonts w:eastAsia="Times New Roman" w:cs="Arial"/>
          <w:bCs/>
          <w:sz w:val="22"/>
          <w:lang w:eastAsia="en-GB"/>
        </w:rPr>
        <w:t xml:space="preserve">Know that the urgent treatment centre is part of locally integrated urgent and emergency care services working in conjunction with the ambulance service, NHS111, local GPs, hospital Emergency Departments and other local providers. </w:t>
      </w:r>
    </w:p>
    <w:p w:rsidR="001C7077" w:rsidRDefault="001C7077" w:rsidP="001C7077">
      <w:pPr>
        <w:ind w:left="720"/>
        <w:contextualSpacing/>
        <w:rPr>
          <w:rFonts w:eastAsia="Times New Roman" w:cs="Arial"/>
          <w:b/>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The expectation is that this change will create the opportunity for the commissioning of a genuine integrated urgent care service, aligning NHS 111, urgent treatment centres, GP out-of-hours and routine and urgent GP appointments with face to face urgent care.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This represents a national drive to provide a simplified networked model of urgent care services presented to the public using a standardised nomenclature.  As such, MIUs are likely to translate into newly-specified primary care access hubs following local consultation and engagement.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Urgent treatment centres are expected to operate as part of a networked model of urgent care, with referral pathways into emergency departments and specialist services as required.  Commissioners are expected to make sure that all UTC services form part of ambulance services referral pathways as an alternative to conveyance to the ED where appropriate.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This key publication established a blueprint for the design of the UTC at Pilgrim Hospital.  Patients must have access to routine, same day and urgent (within 4 hours) primary care services both in and out of core hours.  The service must have seamless integration – patients will be almost unaware of which organisation is providing their care with the ED and UTC being completely integrated.</w:t>
      </w:r>
    </w:p>
    <w:p w:rsidR="001C7077" w:rsidRDefault="001C7077" w:rsidP="001C7077">
      <w:pPr>
        <w:autoSpaceDE w:val="0"/>
        <w:autoSpaceDN w:val="0"/>
        <w:adjustRightInd w:val="0"/>
        <w:jc w:val="both"/>
        <w:rPr>
          <w:rFonts w:eastAsia="Times New Roman" w:cs="Arial"/>
          <w:bCs/>
          <w:szCs w:val="24"/>
          <w:lang w:eastAsia="en-GB"/>
        </w:rPr>
      </w:pPr>
    </w:p>
    <w:p w:rsidR="001C7077" w:rsidRDefault="001C7077" w:rsidP="001C7077">
      <w:pPr>
        <w:autoSpaceDE w:val="0"/>
        <w:autoSpaceDN w:val="0"/>
        <w:adjustRightInd w:val="0"/>
        <w:jc w:val="both"/>
        <w:rPr>
          <w:rFonts w:eastAsia="Times New Roman" w:cs="Arial"/>
          <w:bCs/>
          <w:szCs w:val="24"/>
          <w:lang w:eastAsia="en-GB"/>
        </w:rPr>
      </w:pPr>
    </w:p>
    <w:p w:rsidR="001C7077" w:rsidRDefault="001C7077" w:rsidP="001C7077">
      <w:pPr>
        <w:autoSpaceDE w:val="0"/>
        <w:autoSpaceDN w:val="0"/>
        <w:adjustRightInd w:val="0"/>
        <w:ind w:left="360"/>
        <w:jc w:val="both"/>
        <w:rPr>
          <w:rFonts w:ascii="Calibri" w:eastAsia="Times New Roman" w:hAnsi="Calibri" w:cs="Arial"/>
          <w:bCs/>
          <w:color w:val="5A5A5A"/>
          <w:spacing w:val="15"/>
          <w:sz w:val="28"/>
          <w:szCs w:val="28"/>
          <w:lang w:eastAsia="en-GB"/>
        </w:rPr>
      </w:pPr>
      <w:bookmarkStart w:id="30" w:name="_Toc76551195"/>
      <w:bookmarkStart w:id="31" w:name="_Toc34395867"/>
      <w:r>
        <w:rPr>
          <w:rFonts w:ascii="Calibri" w:eastAsia="Times New Roman" w:hAnsi="Calibri" w:cs="Times New Roman"/>
          <w:color w:val="5A5A5A"/>
          <w:spacing w:val="15"/>
          <w:sz w:val="28"/>
          <w:szCs w:val="28"/>
          <w:lang w:eastAsia="en-GB"/>
        </w:rPr>
        <w:t>B.7</w:t>
      </w:r>
      <w:r>
        <w:rPr>
          <w:rFonts w:ascii="Calibri" w:eastAsia="Times New Roman" w:hAnsi="Calibri" w:cs="Times New Roman"/>
          <w:color w:val="5A5A5A"/>
          <w:spacing w:val="15"/>
          <w:sz w:val="28"/>
          <w:szCs w:val="28"/>
          <w:lang w:eastAsia="en-GB"/>
        </w:rPr>
        <w:tab/>
      </w:r>
      <w:proofErr w:type="gramStart"/>
      <w:r>
        <w:rPr>
          <w:rFonts w:ascii="Calibri" w:eastAsia="Times New Roman" w:hAnsi="Calibri" w:cs="Times New Roman"/>
          <w:color w:val="5A5A5A"/>
          <w:spacing w:val="15"/>
          <w:sz w:val="28"/>
          <w:szCs w:val="28"/>
          <w:lang w:eastAsia="en-GB"/>
        </w:rPr>
        <w:t>The</w:t>
      </w:r>
      <w:proofErr w:type="gramEnd"/>
      <w:r>
        <w:rPr>
          <w:rFonts w:ascii="Calibri" w:eastAsia="Times New Roman" w:hAnsi="Calibri" w:cs="Times New Roman"/>
          <w:color w:val="5A5A5A"/>
          <w:spacing w:val="15"/>
          <w:sz w:val="28"/>
          <w:szCs w:val="28"/>
          <w:lang w:eastAsia="en-GB"/>
        </w:rPr>
        <w:t xml:space="preserve"> Carter Report</w:t>
      </w:r>
      <w:bookmarkEnd w:id="30"/>
      <w:bookmarkEnd w:id="31"/>
    </w:p>
    <w:p w:rsidR="001C7077" w:rsidRDefault="001C7077" w:rsidP="001C7077">
      <w:pPr>
        <w:rPr>
          <w:rFonts w:eastAsia="Times New Roman" w:cs="Times New Roman"/>
          <w:szCs w:val="24"/>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Lord Carter’s interim report in June 2015 and February 2016 (Operational productivity and performance in English NHS acute hospitals: Unwarranted variations) outlined the work that has been carried out to review the operational productivity of NHS hospitals, working with a group of 22 NHS providers.  The report provided interim recommendations and next steps for efficiency centred on workflow, workforce, pharmacy and medicines optimisation and estates and procurement management.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
          <w:bCs/>
          <w:sz w:val="22"/>
          <w:lang w:eastAsia="en-GB"/>
        </w:rPr>
      </w:pPr>
      <w:r>
        <w:rPr>
          <w:rFonts w:eastAsia="Times New Roman" w:cs="Arial"/>
          <w:bCs/>
          <w:sz w:val="22"/>
          <w:lang w:eastAsia="en-GB"/>
        </w:rPr>
        <w:t xml:space="preserve">A key interim recommendation was the need for a common set of metrics that could serve as a barometer for hospitals to compare themselves with their peers, taking into account the complexity of care provided, and more importantly provide a baseline for future improvement.  This would enable hospital leaders to pinpoint areas of improvement and identify where large improvements could be made by reducing variation in services.  </w:t>
      </w:r>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Lord Carter’s final report published in February 2016 identified significant and unwarranted variation in costs and practice which, if addressed, could save the NHS £5bn.  The report acknowledges that although there is exceptional practice already happening in the NHS, the overall average is not sufficient and more needs to be done to bring poor performance up to meet the best.  It concluded there is the potential for efficiency savings of £1bn from better management of estates, such as lighting, heating and utilising floor space, with a large variation between Trusts, with one using just 12% for non-clinical purposes, while another used over two-thirds.  The report recommended that: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31"/>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“Every Trust has a strategic estates and facilities plan in place, including in the short term, a cost reduction plan based on the model hospital data and benchmarks, and in the longer term a plan for investment and reconfiguration where appropriate for their whole estate, taking into account the Trust’s future service requirements”;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31"/>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“All Trust’s estates and facilities departments should operate at or above the median benchmarks for the operational management of their estates and facilities functions (as set by NHS Improvement by April 2016); with all Trusts (where appropriate) having a plan to operate with a maximum of 35% of non-clinical floor space and 2.5% of unoccupied or under-used space by April 2017 and delivering this benchmark by April 2020, so that estates and facilities resources are used in a cost effective manner.”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This OBC responds to the Carter report by proposing to maximise the amount of clinical space in relation to the ED at the Pilgrim Hospital, Boston.  Also, by addressing the current capacity </w:t>
      </w:r>
      <w:r>
        <w:rPr>
          <w:rFonts w:eastAsia="Times New Roman" w:cs="Arial"/>
          <w:bCs/>
          <w:sz w:val="22"/>
          <w:lang w:eastAsia="en-GB"/>
        </w:rPr>
        <w:lastRenderedPageBreak/>
        <w:t xml:space="preserve">issues, it is proposed to enable provision of an efficient urgent care service for the east Lincolnshire area, therefore improving cost effectiveness. </w:t>
      </w:r>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ind w:left="360"/>
        <w:rPr>
          <w:rFonts w:ascii="Calibri" w:eastAsia="Times New Roman" w:hAnsi="Calibri" w:cs="Times New Roman"/>
          <w:color w:val="5A5A5A"/>
          <w:spacing w:val="15"/>
          <w:sz w:val="28"/>
          <w:szCs w:val="28"/>
          <w:lang w:eastAsia="en-GB"/>
        </w:rPr>
      </w:pPr>
      <w:bookmarkStart w:id="32" w:name="_Toc76551196"/>
      <w:bookmarkStart w:id="33" w:name="_Toc34395868"/>
      <w:r>
        <w:rPr>
          <w:rFonts w:ascii="Calibri" w:eastAsia="Times New Roman" w:hAnsi="Calibri" w:cs="Times New Roman"/>
          <w:color w:val="5A5A5A"/>
          <w:spacing w:val="15"/>
          <w:sz w:val="28"/>
          <w:szCs w:val="28"/>
          <w:lang w:eastAsia="en-GB"/>
        </w:rPr>
        <w:t>B.8</w:t>
      </w:r>
      <w:r>
        <w:rPr>
          <w:rFonts w:ascii="Calibri" w:eastAsia="Times New Roman" w:hAnsi="Calibri" w:cs="Times New Roman"/>
          <w:color w:val="5A5A5A"/>
          <w:spacing w:val="15"/>
          <w:sz w:val="28"/>
          <w:szCs w:val="28"/>
          <w:lang w:eastAsia="en-GB"/>
        </w:rPr>
        <w:tab/>
        <w:t>NHS Property and Estates: Why the estate matters for patients (March 2017)</w:t>
      </w:r>
      <w:bookmarkEnd w:id="32"/>
      <w:bookmarkEnd w:id="33"/>
      <w:r>
        <w:rPr>
          <w:rFonts w:ascii="Calibri" w:eastAsia="Times New Roman" w:hAnsi="Calibri" w:cs="Times New Roman"/>
          <w:color w:val="5A5A5A"/>
          <w:spacing w:val="15"/>
          <w:sz w:val="28"/>
          <w:szCs w:val="28"/>
          <w:lang w:eastAsia="en-GB"/>
        </w:rPr>
        <w:t xml:space="preserve"> </w:t>
      </w:r>
    </w:p>
    <w:p w:rsidR="001C7077" w:rsidRDefault="001C7077" w:rsidP="001C7077">
      <w:pPr>
        <w:rPr>
          <w:rFonts w:eastAsia="Times New Roman" w:cs="Times New Roman"/>
          <w:szCs w:val="24"/>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The NHS Property and Estates review (an independent report by Sir Robert Naylor) presented the opportunity to rebuild NHS infrastructure to meet modern standards of service delivery for the future and calls for the NHS, through the STP process to rapidly develop robust capital plans that are aligned with clinical strategies, maximise value for money (including land sales) and address backlog maintenance.  This project responds to the Naylor Review by making more intensive use of the existing estate and maximising and improving clinical standards and functional suitability.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szCs w:val="24"/>
          <w:lang w:eastAsia="en-GB"/>
        </w:rPr>
      </w:pPr>
    </w:p>
    <w:p w:rsidR="001C7077" w:rsidRDefault="001C7077" w:rsidP="001C7077">
      <w:pPr>
        <w:ind w:left="360"/>
        <w:rPr>
          <w:rFonts w:ascii="Calibri" w:eastAsia="Times New Roman" w:hAnsi="Calibri" w:cs="Times New Roman"/>
          <w:color w:val="5A5A5A"/>
          <w:spacing w:val="15"/>
          <w:sz w:val="28"/>
          <w:szCs w:val="28"/>
          <w:lang w:eastAsia="en-GB"/>
        </w:rPr>
      </w:pPr>
      <w:bookmarkStart w:id="34" w:name="_Toc76551197"/>
      <w:bookmarkStart w:id="35" w:name="_Toc34395869"/>
      <w:r>
        <w:rPr>
          <w:rFonts w:ascii="Calibri" w:eastAsia="Times New Roman" w:hAnsi="Calibri" w:cs="Times New Roman"/>
          <w:color w:val="5A5A5A"/>
          <w:spacing w:val="15"/>
          <w:sz w:val="28"/>
          <w:szCs w:val="28"/>
          <w:lang w:eastAsia="en-GB"/>
        </w:rPr>
        <w:t>B.9</w:t>
      </w:r>
      <w:r>
        <w:rPr>
          <w:rFonts w:ascii="Calibri" w:eastAsia="Times New Roman" w:hAnsi="Calibri" w:cs="Times New Roman"/>
          <w:color w:val="5A5A5A"/>
          <w:spacing w:val="15"/>
          <w:sz w:val="28"/>
          <w:szCs w:val="28"/>
          <w:lang w:eastAsia="en-GB"/>
        </w:rPr>
        <w:tab/>
        <w:t>Local Estates Strategies (</w:t>
      </w:r>
      <w:proofErr w:type="spellStart"/>
      <w:r>
        <w:rPr>
          <w:rFonts w:ascii="Calibri" w:eastAsia="Times New Roman" w:hAnsi="Calibri" w:cs="Times New Roman"/>
          <w:color w:val="5A5A5A"/>
          <w:spacing w:val="15"/>
          <w:sz w:val="28"/>
          <w:szCs w:val="28"/>
          <w:lang w:eastAsia="en-GB"/>
        </w:rPr>
        <w:t>DoH</w:t>
      </w:r>
      <w:proofErr w:type="spellEnd"/>
      <w:r>
        <w:rPr>
          <w:rFonts w:ascii="Calibri" w:eastAsia="Times New Roman" w:hAnsi="Calibri" w:cs="Times New Roman"/>
          <w:color w:val="5A5A5A"/>
          <w:spacing w:val="15"/>
          <w:sz w:val="28"/>
          <w:szCs w:val="28"/>
          <w:lang w:eastAsia="en-GB"/>
        </w:rPr>
        <w:t xml:space="preserve"> June 2015)</w:t>
      </w:r>
      <w:bookmarkEnd w:id="34"/>
      <w:bookmarkEnd w:id="35"/>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Achieving the efficiencies required by the Five Year Forward View requires all parts of the health service to work with greater agility and co-operation. Good quality strategic estates planning is vital to making the most of these changes and will allow the NHS to: </w:t>
      </w:r>
    </w:p>
    <w:p w:rsidR="001C7077" w:rsidRDefault="001C7077" w:rsidP="00B8621B">
      <w:pPr>
        <w:numPr>
          <w:ilvl w:val="0"/>
          <w:numId w:val="32"/>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Fully rationalise its estate; </w:t>
      </w:r>
    </w:p>
    <w:p w:rsidR="001C7077" w:rsidRDefault="001C7077" w:rsidP="001C7077">
      <w:pPr>
        <w:autoSpaceDE w:val="0"/>
        <w:autoSpaceDN w:val="0"/>
        <w:adjustRightInd w:val="0"/>
        <w:ind w:left="360"/>
        <w:jc w:val="both"/>
        <w:rPr>
          <w:rFonts w:eastAsia="Times New Roman" w:cs="Arial"/>
          <w:bCs/>
          <w:sz w:val="22"/>
          <w:lang w:eastAsia="en-GB"/>
        </w:rPr>
      </w:pPr>
    </w:p>
    <w:p w:rsidR="001C7077" w:rsidRDefault="001C7077" w:rsidP="00B8621B">
      <w:pPr>
        <w:numPr>
          <w:ilvl w:val="0"/>
          <w:numId w:val="32"/>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Maximise use of facilities;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32"/>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Deliver value for money; and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B8621B">
      <w:pPr>
        <w:numPr>
          <w:ilvl w:val="0"/>
          <w:numId w:val="32"/>
        </w:numPr>
        <w:autoSpaceDE w:val="0"/>
        <w:autoSpaceDN w:val="0"/>
        <w:adjustRightInd w:val="0"/>
        <w:jc w:val="both"/>
        <w:rPr>
          <w:rFonts w:eastAsia="Times New Roman" w:cs="Arial"/>
          <w:bCs/>
          <w:sz w:val="22"/>
          <w:lang w:eastAsia="en-GB"/>
        </w:rPr>
      </w:pPr>
      <w:r>
        <w:rPr>
          <w:rFonts w:eastAsia="Times New Roman" w:cs="Arial"/>
          <w:bCs/>
          <w:sz w:val="22"/>
          <w:lang w:eastAsia="en-GB"/>
        </w:rPr>
        <w:t xml:space="preserve">Enhance patients’ experiences. </w:t>
      </w:r>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In order to realise these benefits, commissioners, trusts and stakeholders (including the wider public estate) were required to produce local estates strategies.  The formation of Local Estates Forums (LEF) has been key to developing a sufficiently robust understanding of the available estate and aligning it to commissioning intentions to extract maximum value from NHS resources and reduce wastage.</w:t>
      </w:r>
    </w:p>
    <w:p w:rsidR="001C7077" w:rsidRDefault="001C7077" w:rsidP="001C7077">
      <w:pPr>
        <w:autoSpaceDE w:val="0"/>
        <w:autoSpaceDN w:val="0"/>
        <w:adjustRightInd w:val="0"/>
        <w:jc w:val="both"/>
        <w:rPr>
          <w:rFonts w:eastAsia="Times New Roman" w:cs="Arial"/>
          <w:bCs/>
          <w:szCs w:val="24"/>
          <w:lang w:eastAsia="en-GB"/>
        </w:rPr>
      </w:pPr>
      <w:r>
        <w:rPr>
          <w:rFonts w:eastAsia="Times New Roman" w:cs="Arial"/>
          <w:bCs/>
          <w:szCs w:val="24"/>
          <w:lang w:eastAsia="en-GB"/>
        </w:rPr>
        <w:t xml:space="preserve">  </w:t>
      </w: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It is critical that service and estates planning are integrated to ensure that the best estate is available to deliver optimised healthcare services and facilitate wisely, well-founded investment decisions.  In this way, best use can be made of existing property, new estate can be developed to meet service needs and surplus estate can be sold. </w:t>
      </w:r>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ind w:left="360"/>
        <w:rPr>
          <w:rFonts w:ascii="Calibri" w:eastAsia="Times New Roman" w:hAnsi="Calibri" w:cs="Times New Roman"/>
          <w:color w:val="5A5A5A"/>
          <w:spacing w:val="15"/>
          <w:sz w:val="28"/>
          <w:szCs w:val="28"/>
          <w:lang w:eastAsia="en-GB"/>
        </w:rPr>
      </w:pPr>
      <w:bookmarkStart w:id="36" w:name="_Toc76551198"/>
      <w:bookmarkStart w:id="37" w:name="_Toc34395870"/>
      <w:r>
        <w:rPr>
          <w:rFonts w:ascii="Calibri" w:eastAsia="Times New Roman" w:hAnsi="Calibri" w:cs="Times New Roman"/>
          <w:color w:val="5A5A5A"/>
          <w:spacing w:val="15"/>
          <w:sz w:val="28"/>
          <w:szCs w:val="28"/>
          <w:lang w:eastAsia="en-GB"/>
        </w:rPr>
        <w:t>B.10</w:t>
      </w:r>
      <w:r>
        <w:rPr>
          <w:rFonts w:ascii="Calibri" w:eastAsia="Times New Roman" w:hAnsi="Calibri" w:cs="Times New Roman"/>
          <w:color w:val="5A5A5A"/>
          <w:spacing w:val="15"/>
          <w:sz w:val="28"/>
          <w:szCs w:val="28"/>
          <w:lang w:eastAsia="en-GB"/>
        </w:rPr>
        <w:tab/>
        <w:t>Estates and Technology Transformation Fund</w:t>
      </w:r>
      <w:bookmarkEnd w:id="36"/>
      <w:bookmarkEnd w:id="37"/>
      <w:r>
        <w:rPr>
          <w:rFonts w:ascii="Calibri" w:eastAsia="Times New Roman" w:hAnsi="Calibri" w:cs="Times New Roman"/>
          <w:color w:val="5A5A5A"/>
          <w:spacing w:val="15"/>
          <w:sz w:val="28"/>
          <w:szCs w:val="28"/>
          <w:lang w:eastAsia="en-GB"/>
        </w:rPr>
        <w:t xml:space="preserve"> </w:t>
      </w:r>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NHS England’s Estates and Technology Transformation Fund (ETTF) is a multi-million pound investment (revenue and capital funding) in general practice facilities and technology across England (between 2015/16 and 2019/20). It is part of the General Practice Forward View commitment for more modernised buildings and better use of technology to help improve general practices services for patients. </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lastRenderedPageBreak/>
        <w:t xml:space="preserve">The ETTF funding comes out of the £1bn Primary Care Infrastructure Fund which as well as providing a funding boost for estates and technology has invested in other areas of general practice such as workforce. </w:t>
      </w:r>
    </w:p>
    <w:p w:rsidR="001C7077" w:rsidRDefault="001C7077" w:rsidP="001C7077">
      <w:pPr>
        <w:autoSpaceDE w:val="0"/>
        <w:autoSpaceDN w:val="0"/>
        <w:adjustRightInd w:val="0"/>
        <w:jc w:val="both"/>
        <w:rPr>
          <w:rFonts w:eastAsia="Times New Roman" w:cs="Arial"/>
          <w:bCs/>
          <w:szCs w:val="24"/>
          <w:lang w:eastAsia="en-GB"/>
        </w:rPr>
      </w:pPr>
    </w:p>
    <w:p w:rsidR="001C7077" w:rsidRDefault="001C7077" w:rsidP="001C7077">
      <w:pPr>
        <w:spacing w:after="160"/>
        <w:ind w:firstLine="360"/>
        <w:rPr>
          <w:rFonts w:ascii="Calibri" w:eastAsia="Times New Roman" w:hAnsi="Calibri" w:cs="Times New Roman"/>
          <w:color w:val="5A5A5A"/>
          <w:spacing w:val="15"/>
          <w:sz w:val="28"/>
          <w:szCs w:val="28"/>
          <w:lang w:eastAsia="en-GB"/>
        </w:rPr>
      </w:pPr>
      <w:bookmarkStart w:id="38" w:name="_Toc76551199"/>
      <w:r>
        <w:rPr>
          <w:rFonts w:ascii="Calibri" w:eastAsia="Times New Roman" w:hAnsi="Calibri" w:cs="Times New Roman"/>
          <w:color w:val="5A5A5A"/>
          <w:spacing w:val="15"/>
          <w:sz w:val="28"/>
          <w:szCs w:val="28"/>
          <w:lang w:eastAsia="en-GB"/>
        </w:rPr>
        <w:t>B11</w:t>
      </w:r>
      <w:r>
        <w:rPr>
          <w:rFonts w:ascii="Calibri" w:eastAsia="Times New Roman" w:hAnsi="Calibri" w:cs="Times New Roman"/>
          <w:color w:val="5A5A5A"/>
          <w:spacing w:val="15"/>
          <w:sz w:val="28"/>
          <w:szCs w:val="28"/>
          <w:lang w:eastAsia="en-GB"/>
        </w:rPr>
        <w:tab/>
        <w:t>Lincolnshire STP Estates Strategy</w:t>
      </w:r>
      <w:bookmarkEnd w:id="38"/>
    </w:p>
    <w:p w:rsidR="001C7077" w:rsidRDefault="001C7077" w:rsidP="001C7077">
      <w:pPr>
        <w:jc w:val="both"/>
        <w:rPr>
          <w:rFonts w:eastAsia="Times New Roman" w:cs="Times New Roman"/>
          <w:sz w:val="22"/>
          <w:lang w:eastAsia="en-GB"/>
        </w:rPr>
      </w:pPr>
      <w:r>
        <w:rPr>
          <w:rFonts w:eastAsia="Times New Roman" w:cs="Times New Roman"/>
          <w:sz w:val="22"/>
          <w:lang w:eastAsia="en-GB"/>
        </w:rPr>
        <w:t>The draft Lincolnshire STP Estates Strategy was released in July 2018.  It describes a strong commitment to organisations within the health system working together with a common purpose, to continue to raise standards and to ensure we deliver the best possible outcomes for the people of Lincolnshire.</w:t>
      </w:r>
    </w:p>
    <w:p w:rsidR="001C7077" w:rsidRDefault="001C7077" w:rsidP="001C7077">
      <w:pPr>
        <w:jc w:val="both"/>
        <w:rPr>
          <w:rFonts w:eastAsia="Times New Roman" w:cs="Times New Roman"/>
          <w:sz w:val="22"/>
          <w:lang w:eastAsia="en-GB"/>
        </w:rPr>
      </w:pPr>
    </w:p>
    <w:p w:rsidR="001C7077" w:rsidRDefault="001C7077" w:rsidP="001C7077">
      <w:pPr>
        <w:jc w:val="both"/>
        <w:rPr>
          <w:rFonts w:eastAsia="Times New Roman" w:cs="Times New Roman"/>
          <w:sz w:val="22"/>
          <w:lang w:eastAsia="en-GB"/>
        </w:rPr>
      </w:pPr>
      <w:r>
        <w:rPr>
          <w:rFonts w:eastAsia="Times New Roman" w:cs="Times New Roman"/>
          <w:sz w:val="22"/>
          <w:lang w:eastAsia="en-GB"/>
        </w:rPr>
        <w:t xml:space="preserve">It notes that some of our patients and staff are in buildings not fit for the demands of </w:t>
      </w:r>
      <w:proofErr w:type="spellStart"/>
      <w:proofErr w:type="gramStart"/>
      <w:r>
        <w:rPr>
          <w:rFonts w:eastAsia="Times New Roman" w:cs="Times New Roman"/>
          <w:sz w:val="22"/>
          <w:lang w:eastAsia="en-GB"/>
        </w:rPr>
        <w:t>todays</w:t>
      </w:r>
      <w:proofErr w:type="spellEnd"/>
      <w:proofErr w:type="gramEnd"/>
      <w:r>
        <w:rPr>
          <w:rFonts w:eastAsia="Times New Roman" w:cs="Times New Roman"/>
          <w:sz w:val="22"/>
          <w:lang w:eastAsia="en-GB"/>
        </w:rPr>
        <w:t xml:space="preserve"> health care.  It describes the extreme issues at both Pilgrim and Lincoln County Hospitals regarding A&amp;E performance and capacity and the need to reconfigure a number of specialities including acute care across the system.  The plans to reconfigure the ED at Pilgrim Hospital are in line with this strategy.</w:t>
      </w:r>
    </w:p>
    <w:p w:rsidR="001C7077" w:rsidRDefault="001C7077" w:rsidP="001C7077">
      <w:pPr>
        <w:jc w:val="both"/>
        <w:rPr>
          <w:rFonts w:eastAsia="Times New Roman" w:cs="Times New Roman"/>
          <w:szCs w:val="24"/>
          <w:lang w:eastAsia="en-GB"/>
        </w:rPr>
      </w:pPr>
    </w:p>
    <w:p w:rsidR="001C7077" w:rsidRDefault="001C7077" w:rsidP="001C7077">
      <w:pPr>
        <w:autoSpaceDE w:val="0"/>
        <w:autoSpaceDN w:val="0"/>
        <w:adjustRightInd w:val="0"/>
        <w:jc w:val="both"/>
        <w:rPr>
          <w:rFonts w:eastAsia="Times New Roman" w:cs="Arial"/>
          <w:b/>
          <w:bCs/>
          <w:sz w:val="22"/>
          <w:lang w:eastAsia="en-GB"/>
        </w:rPr>
      </w:pPr>
    </w:p>
    <w:p w:rsidR="001C7077" w:rsidRDefault="001C7077" w:rsidP="001C7077">
      <w:pPr>
        <w:ind w:left="360"/>
        <w:rPr>
          <w:rFonts w:ascii="Calibri" w:eastAsia="Times New Roman" w:hAnsi="Calibri" w:cs="Times New Roman"/>
          <w:color w:val="5A5A5A"/>
          <w:spacing w:val="15"/>
          <w:sz w:val="28"/>
          <w:szCs w:val="28"/>
          <w:lang w:eastAsia="en-GB"/>
        </w:rPr>
      </w:pPr>
      <w:bookmarkStart w:id="39" w:name="_Toc76551200"/>
      <w:bookmarkStart w:id="40" w:name="_Toc34395871"/>
      <w:r>
        <w:rPr>
          <w:rFonts w:ascii="Calibri" w:eastAsia="Times New Roman" w:hAnsi="Calibri" w:cs="Times New Roman"/>
          <w:color w:val="5A5A5A"/>
          <w:spacing w:val="15"/>
          <w:sz w:val="28"/>
          <w:szCs w:val="28"/>
          <w:lang w:eastAsia="en-GB"/>
        </w:rPr>
        <w:t>B.12</w:t>
      </w:r>
      <w:r>
        <w:rPr>
          <w:rFonts w:ascii="Calibri" w:eastAsia="Times New Roman" w:hAnsi="Calibri" w:cs="Times New Roman"/>
          <w:color w:val="5A5A5A"/>
          <w:spacing w:val="15"/>
          <w:sz w:val="28"/>
          <w:szCs w:val="28"/>
          <w:lang w:eastAsia="en-GB"/>
        </w:rPr>
        <w:tab/>
        <w:t>ULHT Estates Strategy</w:t>
      </w:r>
      <w:bookmarkEnd w:id="39"/>
      <w:bookmarkEnd w:id="40"/>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This scheme fits within the estates strategy in terms of its potential to reduce backlog maintenance and investing in the clinical estate.  It will help the trust to deliver a flexible, high efficiency estate with a functionally fit for purpose, future proofed building.  The design will be flexible for future clinical needs.  As it is often perceived as the “gateway to the site” it will be a landmark building from a design quality and wayfinding perspective, providing a direct visual link to patients and service users upon entering the site.</w:t>
      </w:r>
    </w:p>
    <w:p w:rsidR="001C7077" w:rsidRDefault="001C7077" w:rsidP="001C7077">
      <w:pPr>
        <w:autoSpaceDE w:val="0"/>
        <w:autoSpaceDN w:val="0"/>
        <w:adjustRightInd w:val="0"/>
        <w:jc w:val="both"/>
        <w:rPr>
          <w:rFonts w:eastAsia="Times New Roman" w:cs="Arial"/>
          <w:bCs/>
          <w:sz w:val="22"/>
          <w:lang w:eastAsia="en-GB"/>
        </w:rPr>
      </w:pPr>
    </w:p>
    <w:p w:rsidR="001C7077" w:rsidRDefault="001C7077" w:rsidP="001C7077">
      <w:pPr>
        <w:autoSpaceDE w:val="0"/>
        <w:autoSpaceDN w:val="0"/>
        <w:adjustRightInd w:val="0"/>
        <w:jc w:val="both"/>
        <w:rPr>
          <w:rFonts w:eastAsia="Times New Roman" w:cs="Arial"/>
          <w:bCs/>
          <w:sz w:val="22"/>
          <w:lang w:eastAsia="en-GB"/>
        </w:rPr>
      </w:pPr>
      <w:r>
        <w:rPr>
          <w:rFonts w:eastAsia="Times New Roman" w:cs="Arial"/>
          <w:bCs/>
          <w:sz w:val="22"/>
          <w:lang w:eastAsia="en-GB"/>
        </w:rPr>
        <w:t>The development control plan shows the</w:t>
      </w:r>
      <w:r w:rsidR="004728E9">
        <w:rPr>
          <w:rFonts w:eastAsia="Times New Roman" w:cs="Arial"/>
          <w:bCs/>
          <w:sz w:val="22"/>
          <w:lang w:eastAsia="en-GB"/>
        </w:rPr>
        <w:t xml:space="preserve"> site and the building marked “1</w:t>
      </w:r>
      <w:r>
        <w:rPr>
          <w:rFonts w:eastAsia="Times New Roman" w:cs="Arial"/>
          <w:bCs/>
          <w:sz w:val="22"/>
          <w:lang w:eastAsia="en-GB"/>
        </w:rPr>
        <w:t>” as the H Block, which indicated it for demolition.</w:t>
      </w:r>
      <w:r w:rsidR="004728E9">
        <w:rPr>
          <w:rFonts w:eastAsia="Times New Roman" w:cs="Arial"/>
          <w:bCs/>
          <w:sz w:val="22"/>
          <w:lang w:eastAsia="en-GB"/>
        </w:rPr>
        <w:t xml:space="preserve">  Please see appendix H for the full strategy.</w:t>
      </w:r>
    </w:p>
    <w:p w:rsidR="001C7077" w:rsidRDefault="001C7077" w:rsidP="001C7077">
      <w:pPr>
        <w:autoSpaceDE w:val="0"/>
        <w:autoSpaceDN w:val="0"/>
        <w:adjustRightInd w:val="0"/>
        <w:jc w:val="both"/>
        <w:rPr>
          <w:rFonts w:eastAsia="Times New Roman" w:cs="Arial"/>
          <w:bCs/>
          <w:szCs w:val="24"/>
          <w:lang w:eastAsia="en-GB"/>
        </w:rPr>
      </w:pPr>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ind w:left="360"/>
        <w:rPr>
          <w:rFonts w:ascii="Calibri" w:eastAsia="Times New Roman" w:hAnsi="Calibri" w:cs="Times New Roman"/>
          <w:color w:val="5A5A5A"/>
          <w:spacing w:val="15"/>
          <w:sz w:val="28"/>
          <w:szCs w:val="28"/>
          <w:lang w:eastAsia="en-GB"/>
        </w:rPr>
      </w:pPr>
      <w:bookmarkStart w:id="41" w:name="_Toc76551201"/>
      <w:bookmarkStart w:id="42" w:name="_Toc34395872"/>
      <w:r>
        <w:rPr>
          <w:rFonts w:ascii="Calibri" w:eastAsia="Times New Roman" w:hAnsi="Calibri" w:cs="Times New Roman"/>
          <w:color w:val="5A5A5A"/>
          <w:spacing w:val="15"/>
          <w:sz w:val="28"/>
          <w:szCs w:val="28"/>
          <w:lang w:eastAsia="en-GB"/>
        </w:rPr>
        <w:t>B.13</w:t>
      </w:r>
      <w:r>
        <w:rPr>
          <w:rFonts w:ascii="Calibri" w:eastAsia="Times New Roman" w:hAnsi="Calibri" w:cs="Times New Roman"/>
          <w:color w:val="5A5A5A"/>
          <w:spacing w:val="15"/>
          <w:sz w:val="28"/>
          <w:szCs w:val="28"/>
          <w:lang w:eastAsia="en-GB"/>
        </w:rPr>
        <w:tab/>
        <w:t>ULHT Clinical Strategy</w:t>
      </w:r>
      <w:bookmarkEnd w:id="41"/>
      <w:bookmarkEnd w:id="42"/>
    </w:p>
    <w:p w:rsidR="001C7077" w:rsidRDefault="001C7077" w:rsidP="001C7077">
      <w:pPr>
        <w:autoSpaceDE w:val="0"/>
        <w:autoSpaceDN w:val="0"/>
        <w:adjustRightInd w:val="0"/>
        <w:rPr>
          <w:rFonts w:eastAsia="Times New Roman" w:cs="Arial"/>
          <w:b/>
          <w:bCs/>
          <w:sz w:val="22"/>
          <w:lang w:eastAsia="en-GB"/>
        </w:rPr>
      </w:pPr>
    </w:p>
    <w:p w:rsidR="001C7077" w:rsidRDefault="001C7077" w:rsidP="001C7077">
      <w:pPr>
        <w:autoSpaceDE w:val="0"/>
        <w:autoSpaceDN w:val="0"/>
        <w:adjustRightInd w:val="0"/>
        <w:jc w:val="both"/>
        <w:rPr>
          <w:rFonts w:eastAsia="Times New Roman" w:cs="Arial"/>
          <w:bCs/>
          <w:sz w:val="22"/>
          <w:lang w:val="en" w:eastAsia="en-GB"/>
        </w:rPr>
      </w:pPr>
      <w:r>
        <w:rPr>
          <w:rFonts w:eastAsia="Times New Roman" w:cs="Arial"/>
          <w:bCs/>
          <w:sz w:val="22"/>
          <w:lang w:val="en" w:eastAsia="en-GB"/>
        </w:rPr>
        <w:t xml:space="preserve">The wider NHS is experiencing unprecedented change.  It is becoming a system that is highly regulated by external bodies such as the Care Quality Commission (CQC) and NHS England and Improvement.  National standards are set and some of these will be mandatory with the further development of NICE quality standards.  </w:t>
      </w:r>
      <w:proofErr w:type="spellStart"/>
      <w:r>
        <w:rPr>
          <w:rFonts w:eastAsia="Times New Roman" w:cs="Arial"/>
          <w:bCs/>
          <w:sz w:val="22"/>
          <w:lang w:val="en" w:eastAsia="en-GB"/>
        </w:rPr>
        <w:t>Specialised</w:t>
      </w:r>
      <w:proofErr w:type="spellEnd"/>
      <w:r>
        <w:rPr>
          <w:rFonts w:eastAsia="Times New Roman" w:cs="Arial"/>
          <w:bCs/>
          <w:sz w:val="22"/>
          <w:lang w:val="en" w:eastAsia="en-GB"/>
        </w:rPr>
        <w:t xml:space="preserve"> care is becoming more complex within an environment where increasing demand and public expectations mean that care will be delivered closer to the individuals’ own home, with an integrated workforce.  ‘Integration’ meaning that the workforce from ULHT, Lincolnshire Community Health Services, Lincolnshire Partnership Foundation Trust and primary care will come together to provide care as integrated teams to support patients closer to home, and avoid unnecessary admissions to acute hospitals.  All these changes are required within a constrained financial resource.</w:t>
      </w:r>
    </w:p>
    <w:p w:rsidR="001C7077" w:rsidRDefault="001C7077" w:rsidP="001C7077">
      <w:pPr>
        <w:autoSpaceDE w:val="0"/>
        <w:autoSpaceDN w:val="0"/>
        <w:adjustRightInd w:val="0"/>
        <w:jc w:val="both"/>
        <w:rPr>
          <w:rFonts w:eastAsia="Times New Roman" w:cs="Arial"/>
          <w:bCs/>
          <w:sz w:val="22"/>
          <w:lang w:val="en" w:eastAsia="en-GB"/>
        </w:rPr>
      </w:pPr>
    </w:p>
    <w:p w:rsidR="001C7077" w:rsidRDefault="001C7077" w:rsidP="001C7077">
      <w:pPr>
        <w:autoSpaceDE w:val="0"/>
        <w:autoSpaceDN w:val="0"/>
        <w:adjustRightInd w:val="0"/>
        <w:jc w:val="both"/>
        <w:rPr>
          <w:rFonts w:eastAsia="Times New Roman" w:cs="Arial"/>
          <w:bCs/>
          <w:sz w:val="22"/>
          <w:lang w:val="en" w:eastAsia="en-GB"/>
        </w:rPr>
      </w:pPr>
      <w:r>
        <w:rPr>
          <w:rFonts w:eastAsia="Times New Roman" w:cs="Arial"/>
          <w:bCs/>
          <w:sz w:val="22"/>
          <w:lang w:val="en" w:eastAsia="en-GB"/>
        </w:rPr>
        <w:t xml:space="preserve">The United Lincolnshire Hospitals Clinical Strategy was developed to address these changes and outlines the direction of travel of ULHT services.  It has been developed to ensure that the </w:t>
      </w:r>
      <w:proofErr w:type="spellStart"/>
      <w:r>
        <w:rPr>
          <w:rFonts w:eastAsia="Times New Roman" w:cs="Arial"/>
          <w:bCs/>
          <w:sz w:val="22"/>
          <w:lang w:val="en" w:eastAsia="en-GB"/>
        </w:rPr>
        <w:t>organisation</w:t>
      </w:r>
      <w:proofErr w:type="spellEnd"/>
      <w:r>
        <w:rPr>
          <w:rFonts w:eastAsia="Times New Roman" w:cs="Arial"/>
          <w:bCs/>
          <w:sz w:val="22"/>
          <w:lang w:val="en" w:eastAsia="en-GB"/>
        </w:rPr>
        <w:t xml:space="preserve"> is clear about its role in providing secondary healthcare in the future.</w:t>
      </w:r>
    </w:p>
    <w:p w:rsidR="001C7077" w:rsidRDefault="001C7077" w:rsidP="001C7077">
      <w:pPr>
        <w:autoSpaceDE w:val="0"/>
        <w:autoSpaceDN w:val="0"/>
        <w:adjustRightInd w:val="0"/>
        <w:jc w:val="both"/>
        <w:rPr>
          <w:rFonts w:eastAsia="Times New Roman" w:cs="Arial"/>
          <w:bCs/>
          <w:sz w:val="22"/>
          <w:lang w:val="en" w:eastAsia="en-GB"/>
        </w:rPr>
      </w:pPr>
    </w:p>
    <w:p w:rsidR="001C7077" w:rsidRDefault="001C7077" w:rsidP="001C7077">
      <w:pPr>
        <w:autoSpaceDE w:val="0"/>
        <w:autoSpaceDN w:val="0"/>
        <w:adjustRightInd w:val="0"/>
        <w:jc w:val="both"/>
        <w:rPr>
          <w:rFonts w:eastAsia="Times New Roman" w:cs="Arial"/>
          <w:bCs/>
          <w:sz w:val="22"/>
          <w:lang w:val="en" w:eastAsia="en-GB"/>
        </w:rPr>
      </w:pPr>
      <w:r>
        <w:rPr>
          <w:rFonts w:eastAsia="Times New Roman" w:cs="Arial"/>
          <w:bCs/>
          <w:sz w:val="22"/>
          <w:lang w:val="en" w:eastAsia="en-GB"/>
        </w:rPr>
        <w:t xml:space="preserve">After some challenging times, ULHT is on a journey of improvement with patient safety and improving the patient experience being the highest priorities.  However, ULHT is part of a broader healthcare system and the changing external environment and expectations of partner </w:t>
      </w:r>
      <w:proofErr w:type="spellStart"/>
      <w:r>
        <w:rPr>
          <w:rFonts w:eastAsia="Times New Roman" w:cs="Arial"/>
          <w:bCs/>
          <w:sz w:val="22"/>
          <w:lang w:val="en" w:eastAsia="en-GB"/>
        </w:rPr>
        <w:t>organisation</w:t>
      </w:r>
      <w:proofErr w:type="spellEnd"/>
      <w:r>
        <w:rPr>
          <w:rFonts w:eastAsia="Times New Roman" w:cs="Arial"/>
          <w:bCs/>
          <w:sz w:val="22"/>
          <w:lang w:val="en" w:eastAsia="en-GB"/>
        </w:rPr>
        <w:t xml:space="preserve"> need to be addressed in this strategy and as such, the developed Clinical </w:t>
      </w:r>
      <w:r>
        <w:rPr>
          <w:rFonts w:eastAsia="Times New Roman" w:cs="Arial"/>
          <w:bCs/>
          <w:sz w:val="22"/>
          <w:lang w:val="en" w:eastAsia="en-GB"/>
        </w:rPr>
        <w:lastRenderedPageBreak/>
        <w:t xml:space="preserve">Strategy takes into account the working of both Lincolnshire’s Sustainability and Transformation </w:t>
      </w:r>
      <w:proofErr w:type="spellStart"/>
      <w:r>
        <w:rPr>
          <w:rFonts w:eastAsia="Times New Roman" w:cs="Arial"/>
          <w:bCs/>
          <w:sz w:val="22"/>
          <w:lang w:val="en" w:eastAsia="en-GB"/>
        </w:rPr>
        <w:t>Programme</w:t>
      </w:r>
      <w:proofErr w:type="spellEnd"/>
      <w:r>
        <w:rPr>
          <w:rFonts w:eastAsia="Times New Roman" w:cs="Arial"/>
          <w:bCs/>
          <w:sz w:val="22"/>
          <w:lang w:val="en" w:eastAsia="en-GB"/>
        </w:rPr>
        <w:t xml:space="preserve"> (STP) and the Acute Services Review (ASR).</w:t>
      </w:r>
    </w:p>
    <w:p w:rsidR="001C7077" w:rsidRDefault="001C7077" w:rsidP="001C7077">
      <w:pPr>
        <w:autoSpaceDE w:val="0"/>
        <w:autoSpaceDN w:val="0"/>
        <w:adjustRightInd w:val="0"/>
        <w:jc w:val="both"/>
        <w:rPr>
          <w:rFonts w:eastAsia="Times New Roman" w:cs="Arial"/>
          <w:bCs/>
          <w:sz w:val="22"/>
          <w:lang w:val="en" w:eastAsia="en-GB"/>
        </w:rPr>
      </w:pPr>
    </w:p>
    <w:p w:rsidR="001C7077" w:rsidRDefault="001C7077" w:rsidP="001C7077">
      <w:pPr>
        <w:autoSpaceDE w:val="0"/>
        <w:autoSpaceDN w:val="0"/>
        <w:adjustRightInd w:val="0"/>
        <w:jc w:val="both"/>
        <w:rPr>
          <w:rFonts w:eastAsia="Times New Roman" w:cs="Arial"/>
          <w:bCs/>
          <w:sz w:val="22"/>
          <w:lang w:val="en" w:eastAsia="en-GB"/>
        </w:rPr>
      </w:pPr>
      <w:r>
        <w:rPr>
          <w:rFonts w:eastAsia="Times New Roman" w:cs="Arial"/>
          <w:bCs/>
          <w:sz w:val="22"/>
          <w:lang w:val="en" w:eastAsia="en-GB"/>
        </w:rPr>
        <w:t>Developing this strategy has identified the following key points:</w:t>
      </w:r>
    </w:p>
    <w:p w:rsidR="001C7077" w:rsidRDefault="001C7077" w:rsidP="001C7077">
      <w:pPr>
        <w:autoSpaceDE w:val="0"/>
        <w:autoSpaceDN w:val="0"/>
        <w:adjustRightInd w:val="0"/>
        <w:jc w:val="both"/>
        <w:rPr>
          <w:rFonts w:eastAsia="Times New Roman" w:cs="Arial"/>
          <w:bCs/>
          <w:sz w:val="22"/>
          <w:lang w:val="en" w:eastAsia="en-GB"/>
        </w:rPr>
      </w:pPr>
    </w:p>
    <w:p w:rsidR="001C7077" w:rsidRDefault="001C7077" w:rsidP="00B8621B">
      <w:pPr>
        <w:numPr>
          <w:ilvl w:val="0"/>
          <w:numId w:val="33"/>
        </w:numPr>
        <w:autoSpaceDE w:val="0"/>
        <w:autoSpaceDN w:val="0"/>
        <w:adjustRightInd w:val="0"/>
        <w:jc w:val="both"/>
        <w:rPr>
          <w:rFonts w:eastAsia="Times New Roman" w:cs="Arial"/>
          <w:bCs/>
          <w:sz w:val="22"/>
          <w:lang w:val="en" w:eastAsia="en-GB"/>
        </w:rPr>
      </w:pPr>
      <w:r>
        <w:rPr>
          <w:rFonts w:eastAsia="Times New Roman" w:cs="Arial"/>
          <w:bCs/>
          <w:sz w:val="22"/>
          <w:lang w:val="en" w:eastAsia="en-GB"/>
        </w:rPr>
        <w:t>Services are not clinically sustainable in the current configuration;</w:t>
      </w:r>
    </w:p>
    <w:p w:rsidR="001C7077" w:rsidRDefault="001C7077" w:rsidP="001C7077">
      <w:pPr>
        <w:autoSpaceDE w:val="0"/>
        <w:autoSpaceDN w:val="0"/>
        <w:adjustRightInd w:val="0"/>
        <w:ind w:left="720"/>
        <w:jc w:val="both"/>
        <w:rPr>
          <w:rFonts w:eastAsia="Times New Roman" w:cs="Arial"/>
          <w:bCs/>
          <w:sz w:val="22"/>
          <w:lang w:val="en" w:eastAsia="en-GB"/>
        </w:rPr>
      </w:pPr>
    </w:p>
    <w:p w:rsidR="001C7077" w:rsidRDefault="001C7077" w:rsidP="00B8621B">
      <w:pPr>
        <w:numPr>
          <w:ilvl w:val="0"/>
          <w:numId w:val="33"/>
        </w:numPr>
        <w:autoSpaceDE w:val="0"/>
        <w:autoSpaceDN w:val="0"/>
        <w:adjustRightInd w:val="0"/>
        <w:jc w:val="both"/>
        <w:rPr>
          <w:rFonts w:eastAsia="Times New Roman" w:cs="Arial"/>
          <w:bCs/>
          <w:sz w:val="22"/>
          <w:lang w:val="en" w:eastAsia="en-GB"/>
        </w:rPr>
      </w:pPr>
      <w:r>
        <w:rPr>
          <w:rFonts w:eastAsia="Times New Roman" w:cs="Arial"/>
          <w:bCs/>
          <w:sz w:val="22"/>
          <w:lang w:val="en" w:eastAsia="en-GB"/>
        </w:rPr>
        <w:t>Services are not affordable in the current configuration;</w:t>
      </w:r>
    </w:p>
    <w:p w:rsidR="001C7077" w:rsidRDefault="001C7077" w:rsidP="001C7077">
      <w:pPr>
        <w:autoSpaceDE w:val="0"/>
        <w:autoSpaceDN w:val="0"/>
        <w:adjustRightInd w:val="0"/>
        <w:jc w:val="both"/>
        <w:rPr>
          <w:rFonts w:eastAsia="Times New Roman" w:cs="Arial"/>
          <w:bCs/>
          <w:sz w:val="22"/>
          <w:lang w:val="en" w:eastAsia="en-GB"/>
        </w:rPr>
      </w:pPr>
    </w:p>
    <w:p w:rsidR="001C7077" w:rsidRDefault="001C7077" w:rsidP="00B8621B">
      <w:pPr>
        <w:numPr>
          <w:ilvl w:val="0"/>
          <w:numId w:val="33"/>
        </w:numPr>
        <w:autoSpaceDE w:val="0"/>
        <w:autoSpaceDN w:val="0"/>
        <w:adjustRightInd w:val="0"/>
        <w:jc w:val="both"/>
        <w:rPr>
          <w:rFonts w:eastAsia="Times New Roman" w:cs="Arial"/>
          <w:bCs/>
          <w:sz w:val="22"/>
          <w:lang w:val="en" w:eastAsia="en-GB"/>
        </w:rPr>
      </w:pPr>
      <w:r>
        <w:rPr>
          <w:rFonts w:eastAsia="Times New Roman" w:cs="Arial"/>
          <w:bCs/>
          <w:sz w:val="22"/>
          <w:lang w:val="en" w:eastAsia="en-GB"/>
        </w:rPr>
        <w:t>Doing nothing is not an option;</w:t>
      </w:r>
    </w:p>
    <w:p w:rsidR="001C7077" w:rsidRDefault="001C7077" w:rsidP="001C7077">
      <w:pPr>
        <w:autoSpaceDE w:val="0"/>
        <w:autoSpaceDN w:val="0"/>
        <w:adjustRightInd w:val="0"/>
        <w:jc w:val="both"/>
        <w:rPr>
          <w:rFonts w:eastAsia="Times New Roman" w:cs="Arial"/>
          <w:bCs/>
          <w:sz w:val="22"/>
          <w:lang w:val="en" w:eastAsia="en-GB"/>
        </w:rPr>
      </w:pPr>
    </w:p>
    <w:p w:rsidR="001C7077" w:rsidRDefault="001C7077" w:rsidP="00B8621B">
      <w:pPr>
        <w:numPr>
          <w:ilvl w:val="0"/>
          <w:numId w:val="33"/>
        </w:numPr>
        <w:autoSpaceDE w:val="0"/>
        <w:autoSpaceDN w:val="0"/>
        <w:adjustRightInd w:val="0"/>
        <w:jc w:val="both"/>
        <w:rPr>
          <w:rFonts w:eastAsia="Times New Roman" w:cs="Arial"/>
          <w:bCs/>
          <w:sz w:val="22"/>
          <w:lang w:val="en" w:eastAsia="en-GB"/>
        </w:rPr>
      </w:pPr>
      <w:r>
        <w:rPr>
          <w:rFonts w:eastAsia="Times New Roman" w:cs="Arial"/>
          <w:bCs/>
          <w:sz w:val="22"/>
          <w:lang w:val="en" w:eastAsia="en-GB"/>
        </w:rPr>
        <w:t>Services need to be better integrated and coordinated to deliver an improved patient experience and outcome closer to home;</w:t>
      </w:r>
    </w:p>
    <w:p w:rsidR="001C7077" w:rsidRDefault="001C7077" w:rsidP="001C7077">
      <w:pPr>
        <w:autoSpaceDE w:val="0"/>
        <w:autoSpaceDN w:val="0"/>
        <w:adjustRightInd w:val="0"/>
        <w:jc w:val="both"/>
        <w:rPr>
          <w:rFonts w:eastAsia="Times New Roman" w:cs="Arial"/>
          <w:bCs/>
          <w:sz w:val="22"/>
          <w:lang w:val="en" w:eastAsia="en-GB"/>
        </w:rPr>
      </w:pPr>
    </w:p>
    <w:p w:rsidR="001C7077" w:rsidRDefault="001C7077" w:rsidP="00B8621B">
      <w:pPr>
        <w:numPr>
          <w:ilvl w:val="0"/>
          <w:numId w:val="33"/>
        </w:numPr>
        <w:autoSpaceDE w:val="0"/>
        <w:autoSpaceDN w:val="0"/>
        <w:adjustRightInd w:val="0"/>
        <w:jc w:val="both"/>
        <w:rPr>
          <w:rFonts w:eastAsia="Times New Roman" w:cs="Arial"/>
          <w:bCs/>
          <w:sz w:val="22"/>
          <w:lang w:val="en" w:eastAsia="en-GB"/>
        </w:rPr>
      </w:pPr>
      <w:r>
        <w:rPr>
          <w:rFonts w:eastAsia="Times New Roman" w:cs="Arial"/>
          <w:bCs/>
          <w:sz w:val="22"/>
          <w:lang w:val="en" w:eastAsia="en-GB"/>
        </w:rPr>
        <w:t>Care needs to be consultant-led 24/7;</w:t>
      </w:r>
    </w:p>
    <w:p w:rsidR="001C7077" w:rsidRDefault="001C7077" w:rsidP="001C7077">
      <w:pPr>
        <w:autoSpaceDE w:val="0"/>
        <w:autoSpaceDN w:val="0"/>
        <w:adjustRightInd w:val="0"/>
        <w:jc w:val="both"/>
        <w:rPr>
          <w:rFonts w:eastAsia="Times New Roman" w:cs="Arial"/>
          <w:bCs/>
          <w:sz w:val="22"/>
          <w:lang w:val="en" w:eastAsia="en-GB"/>
        </w:rPr>
      </w:pPr>
    </w:p>
    <w:p w:rsidR="001C7077" w:rsidRDefault="001C7077" w:rsidP="00B8621B">
      <w:pPr>
        <w:numPr>
          <w:ilvl w:val="0"/>
          <w:numId w:val="33"/>
        </w:numPr>
        <w:autoSpaceDE w:val="0"/>
        <w:autoSpaceDN w:val="0"/>
        <w:adjustRightInd w:val="0"/>
        <w:jc w:val="both"/>
        <w:rPr>
          <w:rFonts w:eastAsia="Times New Roman" w:cs="Arial"/>
          <w:bCs/>
          <w:sz w:val="22"/>
          <w:lang w:val="en" w:eastAsia="en-GB"/>
        </w:rPr>
      </w:pPr>
      <w:r>
        <w:rPr>
          <w:rFonts w:eastAsia="Times New Roman" w:cs="Arial"/>
          <w:bCs/>
          <w:sz w:val="22"/>
          <w:lang w:val="en" w:eastAsia="en-GB"/>
        </w:rPr>
        <w:t>There is a balance to strike between the need to concentrate scarce specialist resources and ensure local access;</w:t>
      </w:r>
    </w:p>
    <w:p w:rsidR="001C7077" w:rsidRDefault="001C7077" w:rsidP="001C7077">
      <w:pPr>
        <w:autoSpaceDE w:val="0"/>
        <w:autoSpaceDN w:val="0"/>
        <w:adjustRightInd w:val="0"/>
        <w:jc w:val="both"/>
        <w:rPr>
          <w:rFonts w:eastAsia="Times New Roman" w:cs="Arial"/>
          <w:bCs/>
          <w:sz w:val="22"/>
          <w:lang w:val="en" w:eastAsia="en-GB"/>
        </w:rPr>
      </w:pPr>
    </w:p>
    <w:p w:rsidR="001C7077" w:rsidRDefault="001C7077" w:rsidP="00B8621B">
      <w:pPr>
        <w:numPr>
          <w:ilvl w:val="0"/>
          <w:numId w:val="33"/>
        </w:numPr>
        <w:autoSpaceDE w:val="0"/>
        <w:autoSpaceDN w:val="0"/>
        <w:adjustRightInd w:val="0"/>
        <w:jc w:val="both"/>
        <w:rPr>
          <w:rFonts w:eastAsia="Times New Roman" w:cs="Arial"/>
          <w:bCs/>
          <w:sz w:val="22"/>
          <w:lang w:val="en" w:eastAsia="en-GB"/>
        </w:rPr>
      </w:pPr>
      <w:r>
        <w:rPr>
          <w:rFonts w:eastAsia="Times New Roman" w:cs="Arial"/>
          <w:bCs/>
          <w:sz w:val="22"/>
          <w:lang w:val="en" w:eastAsia="en-GB"/>
        </w:rPr>
        <w:t xml:space="preserve">In-hospital services need to be fully </w:t>
      </w:r>
      <w:proofErr w:type="spellStart"/>
      <w:r>
        <w:rPr>
          <w:rFonts w:eastAsia="Times New Roman" w:cs="Arial"/>
          <w:bCs/>
          <w:sz w:val="22"/>
          <w:lang w:val="en" w:eastAsia="en-GB"/>
        </w:rPr>
        <w:t>utilised</w:t>
      </w:r>
      <w:proofErr w:type="spellEnd"/>
      <w:r>
        <w:rPr>
          <w:rFonts w:eastAsia="Times New Roman" w:cs="Arial"/>
          <w:bCs/>
          <w:sz w:val="22"/>
          <w:lang w:val="en" w:eastAsia="en-GB"/>
        </w:rPr>
        <w:t xml:space="preserve"> to achieve maximum economies of scale;</w:t>
      </w:r>
    </w:p>
    <w:p w:rsidR="001C7077" w:rsidRDefault="001C7077" w:rsidP="001C7077">
      <w:pPr>
        <w:autoSpaceDE w:val="0"/>
        <w:autoSpaceDN w:val="0"/>
        <w:adjustRightInd w:val="0"/>
        <w:jc w:val="both"/>
        <w:rPr>
          <w:rFonts w:eastAsia="Times New Roman" w:cs="Arial"/>
          <w:bCs/>
          <w:sz w:val="22"/>
          <w:lang w:val="en" w:eastAsia="en-GB"/>
        </w:rPr>
      </w:pPr>
    </w:p>
    <w:p w:rsidR="001C7077" w:rsidRDefault="001C7077" w:rsidP="00B8621B">
      <w:pPr>
        <w:numPr>
          <w:ilvl w:val="0"/>
          <w:numId w:val="33"/>
        </w:numPr>
        <w:autoSpaceDE w:val="0"/>
        <w:autoSpaceDN w:val="0"/>
        <w:adjustRightInd w:val="0"/>
        <w:jc w:val="both"/>
        <w:rPr>
          <w:rFonts w:eastAsia="Times New Roman" w:cs="Arial"/>
          <w:bCs/>
          <w:sz w:val="22"/>
          <w:lang w:val="en" w:eastAsia="en-GB"/>
        </w:rPr>
      </w:pPr>
      <w:r>
        <w:rPr>
          <w:rFonts w:eastAsia="Times New Roman" w:cs="Arial"/>
          <w:bCs/>
          <w:sz w:val="22"/>
          <w:lang w:val="en" w:eastAsia="en-GB"/>
        </w:rPr>
        <w:t xml:space="preserve">Telemedicine technologies need to be used to the maximum in Lincolnshire to </w:t>
      </w:r>
      <w:proofErr w:type="spellStart"/>
      <w:r>
        <w:rPr>
          <w:rFonts w:eastAsia="Times New Roman" w:cs="Arial"/>
          <w:bCs/>
          <w:sz w:val="22"/>
          <w:lang w:val="en" w:eastAsia="en-GB"/>
        </w:rPr>
        <w:t>minimise</w:t>
      </w:r>
      <w:proofErr w:type="spellEnd"/>
      <w:r>
        <w:rPr>
          <w:rFonts w:eastAsia="Times New Roman" w:cs="Arial"/>
          <w:bCs/>
          <w:sz w:val="22"/>
          <w:lang w:val="en" w:eastAsia="en-GB"/>
        </w:rPr>
        <w:t xml:space="preserve"> the problems associated with rurality.</w:t>
      </w:r>
    </w:p>
    <w:p w:rsidR="001C7077" w:rsidRDefault="001C7077" w:rsidP="001C7077">
      <w:pPr>
        <w:ind w:left="720"/>
        <w:contextualSpacing/>
        <w:rPr>
          <w:rFonts w:eastAsia="Times New Roman" w:cs="Arial"/>
          <w:bCs/>
          <w:sz w:val="22"/>
          <w:lang w:val="en" w:eastAsia="en-GB"/>
        </w:rPr>
      </w:pPr>
    </w:p>
    <w:p w:rsidR="001C7077" w:rsidRDefault="001C7077" w:rsidP="001C7077">
      <w:pPr>
        <w:jc w:val="both"/>
        <w:rPr>
          <w:rFonts w:eastAsia="Times New Roman" w:cs="Times New Roman"/>
          <w:sz w:val="22"/>
          <w:lang w:eastAsia="en-GB"/>
        </w:rPr>
      </w:pPr>
      <w:r>
        <w:rPr>
          <w:rFonts w:eastAsia="Times New Roman" w:cs="Arial"/>
          <w:bCs/>
          <w:sz w:val="22"/>
          <w:lang w:val="en" w:eastAsia="en-GB"/>
        </w:rPr>
        <w:t>The trusts Integrated Improvement Plan 2020-2025 builds on this strategy setting out the need for staff to work differently, integrating services supported by technology in an improved estate within its core strategic objectives.  This OBC will consider the integration of services and how this can be underpinned by better technology.</w:t>
      </w:r>
    </w:p>
    <w:p w:rsidR="001C7077" w:rsidRDefault="001C7077" w:rsidP="001C7077">
      <w:pPr>
        <w:rPr>
          <w:rFonts w:eastAsia="Times New Roman" w:cs="Times New Roman"/>
          <w:sz w:val="22"/>
          <w:lang w:eastAsia="en-GB"/>
        </w:rPr>
      </w:pPr>
      <w:r>
        <w:rPr>
          <w:rFonts w:eastAsia="Times New Roman" w:cs="Times New Roman"/>
          <w:sz w:val="22"/>
          <w:lang w:eastAsia="en-GB"/>
        </w:rPr>
        <w:br w:type="page"/>
      </w:r>
    </w:p>
    <w:p w:rsidR="001C7077" w:rsidRDefault="004728E9" w:rsidP="004728E9">
      <w:pPr>
        <w:pStyle w:val="Heading1"/>
        <w:rPr>
          <w:lang w:eastAsia="en-GB"/>
        </w:rPr>
      </w:pPr>
      <w:bookmarkStart w:id="43" w:name="_Toc105665205"/>
      <w:r>
        <w:rPr>
          <w:lang w:eastAsia="en-GB"/>
        </w:rPr>
        <w:lastRenderedPageBreak/>
        <w:t>Appendix H:  ULHT Estates Strategy</w:t>
      </w:r>
      <w:bookmarkEnd w:id="43"/>
    </w:p>
    <w:p w:rsidR="00E52A93" w:rsidRDefault="00E52A93" w:rsidP="00E52A93">
      <w:pPr>
        <w:rPr>
          <w:lang w:eastAsia="en-GB"/>
        </w:rPr>
      </w:pPr>
    </w:p>
    <w:p w:rsidR="00E52A93" w:rsidRPr="00E52A93" w:rsidRDefault="00E52A93" w:rsidP="00E52A93">
      <w:pPr>
        <w:rPr>
          <w:lang w:eastAsia="en-GB"/>
        </w:rPr>
      </w:pPr>
      <w:r>
        <w:rPr>
          <w:lang w:eastAsia="en-GB"/>
        </w:rPr>
        <w:t>Already within the public domain.</w:t>
      </w:r>
    </w:p>
    <w:p w:rsidR="004728E9" w:rsidRDefault="004728E9" w:rsidP="004728E9">
      <w:pPr>
        <w:rPr>
          <w:lang w:eastAsia="en-GB"/>
        </w:rPr>
      </w:pPr>
    </w:p>
    <w:p w:rsidR="004728E9" w:rsidRPr="007474AE" w:rsidRDefault="004728E9" w:rsidP="007474AE">
      <w:pPr>
        <w:spacing w:after="200" w:line="276" w:lineRule="auto"/>
        <w:rPr>
          <w:lang w:eastAsia="en-GB"/>
        </w:rPr>
      </w:pPr>
      <w:r w:rsidRPr="004728E9">
        <w:rPr>
          <w:rFonts w:eastAsia="Times New Roman" w:cs="Times New Roman"/>
          <w:color w:val="FFFFFF" w:themeColor="background1"/>
          <w:spacing w:val="-10"/>
          <w:kern w:val="28"/>
          <w:sz w:val="84"/>
          <w:szCs w:val="56"/>
        </w:rPr>
        <w:t xml:space="preserve">United Lincolnshire Hospitals NHS Trust Estates Strategy 2022 </w:t>
      </w:r>
      <w:r w:rsidRPr="004728E9">
        <w:rPr>
          <w:rFonts w:eastAsia="Times New Roman" w:cs="Times New Roman"/>
          <w:color w:val="FFFFFF" w:themeColor="background1"/>
          <w:spacing w:val="-10"/>
          <w:kern w:val="28"/>
          <w:sz w:val="84"/>
          <w:szCs w:val="56"/>
        </w:rPr>
        <w:br w:type="page"/>
      </w:r>
    </w:p>
    <w:p w:rsidR="004728E9" w:rsidRDefault="004728E9" w:rsidP="004728E9">
      <w:r>
        <w:lastRenderedPageBreak/>
        <w:br w:type="page"/>
      </w:r>
    </w:p>
    <w:p w:rsidR="004728E9" w:rsidRDefault="004728E9" w:rsidP="004728E9">
      <w:pPr>
        <w:spacing w:before="120" w:after="120" w:line="324" w:lineRule="auto"/>
        <w:jc w:val="both"/>
        <w:rPr>
          <w:rFonts w:eastAsia="Calibri" w:cs="Times New Roman"/>
          <w:color w:val="002F87"/>
        </w:rPr>
        <w:sectPr w:rsidR="004728E9" w:rsidSect="004E77B4">
          <w:footerReference w:type="default" r:id="rId29"/>
          <w:pgSz w:w="11906" w:h="16838"/>
          <w:pgMar w:top="1440" w:right="1440" w:bottom="1440" w:left="1440" w:header="709" w:footer="709" w:gutter="0"/>
          <w:cols w:space="708"/>
          <w:docGrid w:linePitch="360"/>
        </w:sectPr>
      </w:pPr>
    </w:p>
    <w:p w:rsidR="004728E9" w:rsidRDefault="004728E9" w:rsidP="004728E9">
      <w:pPr>
        <w:pStyle w:val="Heading1"/>
        <w:rPr>
          <w:rFonts w:eastAsia="Calibri"/>
        </w:rPr>
      </w:pPr>
      <w:bookmarkStart w:id="44" w:name="_Toc105665226"/>
      <w:r>
        <w:rPr>
          <w:rFonts w:eastAsia="Calibri"/>
        </w:rPr>
        <w:lastRenderedPageBreak/>
        <w:t>Appendix I:  Cabinet Office Risk Potential Assessment</w:t>
      </w:r>
      <w:bookmarkEnd w:id="44"/>
    </w:p>
    <w:p w:rsidR="004728E9" w:rsidRDefault="004728E9" w:rsidP="004728E9"/>
    <w:p w:rsidR="004728E9" w:rsidRDefault="004728E9">
      <w:pPr>
        <w:spacing w:after="200" w:line="276" w:lineRule="auto"/>
      </w:pPr>
      <w:r>
        <w:br w:type="page"/>
      </w:r>
    </w:p>
    <w:tbl>
      <w:tblPr>
        <w:tblW w:w="10800" w:type="dxa"/>
        <w:tblInd w:w="-1152" w:type="dxa"/>
        <w:tblCellMar>
          <w:left w:w="10" w:type="dxa"/>
          <w:right w:w="10" w:type="dxa"/>
        </w:tblCellMar>
        <w:tblLook w:val="04A0" w:firstRow="1" w:lastRow="0" w:firstColumn="1" w:lastColumn="0" w:noHBand="0" w:noVBand="1"/>
      </w:tblPr>
      <w:tblGrid>
        <w:gridCol w:w="4320"/>
        <w:gridCol w:w="6480"/>
      </w:tblGrid>
      <w:tr w:rsidR="004728E9" w:rsidRPr="004728E9" w:rsidTr="004728E9">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bCs/>
                <w:sz w:val="18"/>
                <w:szCs w:val="18"/>
                <w:lang w:eastAsia="en-GB"/>
              </w:rPr>
            </w:pPr>
            <w:r w:rsidRPr="004728E9">
              <w:rPr>
                <w:rFonts w:eastAsia="Times New Roman" w:cs="Arial"/>
                <w:b/>
                <w:bCs/>
                <w:sz w:val="18"/>
                <w:szCs w:val="18"/>
                <w:lang w:eastAsia="en-GB"/>
              </w:rPr>
              <w:lastRenderedPageBreak/>
              <w:t>1. Policy, programme or project name</w:t>
            </w:r>
          </w:p>
          <w:p w:rsidR="004728E9" w:rsidRPr="004728E9" w:rsidRDefault="004728E9" w:rsidP="004728E9">
            <w:pPr>
              <w:suppressAutoHyphens/>
              <w:autoSpaceDN w:val="0"/>
              <w:rPr>
                <w:rFonts w:eastAsia="Times New Roman" w:cs="Arial"/>
                <w:bCs/>
                <w:i/>
                <w:sz w:val="18"/>
                <w:szCs w:val="18"/>
                <w:lang w:eastAsia="en-GB"/>
              </w:rPr>
            </w:pPr>
            <w:r w:rsidRPr="004728E9">
              <w:rPr>
                <w:rFonts w:eastAsia="Times New Roman" w:cs="Arial"/>
                <w:bCs/>
                <w:i/>
                <w:sz w:val="18"/>
                <w:szCs w:val="18"/>
                <w:lang w:eastAsia="en-GB"/>
              </w:rPr>
              <w:t xml:space="preserve">    (Also note previous name if it has changed since</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Cs/>
                <w:i/>
                <w:sz w:val="18"/>
                <w:szCs w:val="18"/>
                <w:lang w:eastAsia="en-GB"/>
              </w:rPr>
              <w:t xml:space="preserve">    last assurance review) </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Cs w:val="24"/>
                <w:u w:val="single"/>
                <w:lang w:eastAsia="en-GB"/>
              </w:rPr>
              <w:t>Project</w:t>
            </w:r>
            <w:r w:rsidRPr="004728E9">
              <w:rPr>
                <w:rFonts w:eastAsia="Times New Roman" w:cs="Arial"/>
                <w:b/>
                <w:szCs w:val="24"/>
                <w:lang w:eastAsia="en-GB"/>
              </w:rPr>
              <w:t xml:space="preserve"> to Develop Resuscitation Facilities, Implement a New Urgent Treatment Centre and Reconfigured Emergency Department at Pilgrim Hospital, Boston.</w:t>
            </w:r>
          </w:p>
        </w:tc>
      </w:tr>
      <w:tr w:rsidR="004728E9" w:rsidRPr="004728E9" w:rsidTr="004728E9">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bCs/>
                <w:sz w:val="18"/>
                <w:szCs w:val="18"/>
                <w:lang w:eastAsia="en-GB"/>
              </w:rPr>
            </w:pPr>
            <w:r w:rsidRPr="004728E9">
              <w:rPr>
                <w:rFonts w:eastAsia="Times New Roman" w:cs="Arial"/>
                <w:b/>
                <w:bCs/>
                <w:sz w:val="18"/>
                <w:szCs w:val="18"/>
                <w:lang w:eastAsia="en-GB"/>
              </w:rPr>
              <w:t>2. Change driver</w:t>
            </w:r>
          </w:p>
          <w:p w:rsidR="004728E9" w:rsidRPr="004728E9" w:rsidRDefault="004728E9" w:rsidP="004728E9">
            <w:pPr>
              <w:suppressAutoHyphens/>
              <w:autoSpaceDN w:val="0"/>
              <w:rPr>
                <w:rFonts w:eastAsia="Times New Roman" w:cs="Arial"/>
                <w:bCs/>
                <w:i/>
                <w:sz w:val="18"/>
                <w:szCs w:val="18"/>
                <w:lang w:eastAsia="en-GB"/>
              </w:rPr>
            </w:pPr>
            <w:r w:rsidRPr="004728E9">
              <w:rPr>
                <w:rFonts w:eastAsia="Times New Roman" w:cs="Arial"/>
                <w:bCs/>
                <w:i/>
                <w:sz w:val="18"/>
                <w:szCs w:val="18"/>
                <w:lang w:eastAsia="en-GB"/>
              </w:rPr>
              <w:t xml:space="preserve">    (Primary reason for change)</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Ministerial initiative*</w:t>
            </w:r>
          </w:p>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Legal*</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18"/>
                <w:szCs w:val="18"/>
                <w:shd w:val="clear" w:color="auto" w:fill="FFFF00"/>
                <w:lang w:eastAsia="en-GB"/>
              </w:rPr>
              <w:t>Operational Business Change*</w:t>
            </w:r>
            <w:r w:rsidRPr="004728E9">
              <w:rPr>
                <w:rFonts w:eastAsia="Times New Roman" w:cs="Arial"/>
                <w:b/>
                <w:sz w:val="18"/>
                <w:szCs w:val="18"/>
                <w:lang w:eastAsia="en-GB"/>
              </w:rPr>
              <w:t xml:space="preserve"> </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18"/>
                <w:szCs w:val="18"/>
                <w:lang w:eastAsia="en-GB"/>
              </w:rPr>
              <w:t>Other *</w:t>
            </w:r>
            <w:r w:rsidRPr="004728E9">
              <w:rPr>
                <w:rFonts w:eastAsia="Times New Roman" w:cs="Arial"/>
                <w:i/>
                <w:sz w:val="18"/>
                <w:szCs w:val="18"/>
                <w:lang w:eastAsia="en-GB"/>
              </w:rPr>
              <w:t xml:space="preserve">(provide short explanation)           </w:t>
            </w:r>
            <w:r w:rsidRPr="004728E9">
              <w:rPr>
                <w:rFonts w:eastAsia="Times New Roman" w:cs="Arial"/>
                <w:b/>
                <w:sz w:val="18"/>
                <w:szCs w:val="18"/>
                <w:lang w:eastAsia="en-GB"/>
              </w:rPr>
              <w:t xml:space="preserve">                      </w:t>
            </w:r>
            <w:r w:rsidRPr="004728E9">
              <w:rPr>
                <w:rFonts w:eastAsia="Times New Roman" w:cs="Arial"/>
                <w:i/>
                <w:sz w:val="18"/>
                <w:szCs w:val="18"/>
                <w:lang w:eastAsia="en-GB"/>
              </w:rPr>
              <w:t>* delete as appropriate</w:t>
            </w:r>
          </w:p>
        </w:tc>
      </w:tr>
      <w:tr w:rsidR="004728E9" w:rsidRPr="004728E9" w:rsidTr="004728E9">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bCs/>
                <w:sz w:val="18"/>
                <w:szCs w:val="18"/>
                <w:lang w:eastAsia="en-GB"/>
              </w:rPr>
            </w:pPr>
            <w:r w:rsidRPr="004728E9">
              <w:rPr>
                <w:rFonts w:eastAsia="Times New Roman" w:cs="Arial"/>
                <w:b/>
                <w:bCs/>
                <w:sz w:val="18"/>
                <w:szCs w:val="18"/>
                <w:lang w:eastAsia="en-GB"/>
              </w:rPr>
              <w:t xml:space="preserve">3. Programme/project type </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hd w:val="clear" w:color="auto" w:fill="FFFFFF"/>
              <w:suppressAutoHyphens/>
              <w:autoSpaceDN w:val="0"/>
              <w:rPr>
                <w:rFonts w:eastAsia="Times New Roman" w:cs="Arial"/>
                <w:color w:val="000000"/>
                <w:sz w:val="18"/>
                <w:szCs w:val="18"/>
                <w:lang w:eastAsia="en-GB"/>
              </w:rPr>
            </w:pPr>
            <w:r w:rsidRPr="004728E9">
              <w:rPr>
                <w:rFonts w:eastAsia="Times New Roman" w:cs="Arial"/>
                <w:color w:val="000000"/>
                <w:sz w:val="18"/>
                <w:szCs w:val="18"/>
                <w:lang w:eastAsia="en-GB"/>
              </w:rPr>
              <w:t>1. Government Transformation &amp; Service Delivery*</w:t>
            </w:r>
          </w:p>
          <w:p w:rsidR="004728E9" w:rsidRPr="004728E9" w:rsidRDefault="004728E9" w:rsidP="004728E9">
            <w:pPr>
              <w:shd w:val="clear" w:color="auto" w:fill="FFFFFF"/>
              <w:suppressAutoHyphens/>
              <w:autoSpaceDN w:val="0"/>
              <w:rPr>
                <w:rFonts w:eastAsia="Times New Roman" w:cs="Arial"/>
                <w:color w:val="000000"/>
                <w:sz w:val="18"/>
                <w:szCs w:val="18"/>
                <w:lang w:eastAsia="en-GB"/>
              </w:rPr>
            </w:pPr>
            <w:r w:rsidRPr="004728E9">
              <w:rPr>
                <w:rFonts w:eastAsia="Times New Roman" w:cs="Arial"/>
                <w:color w:val="000000"/>
                <w:sz w:val="18"/>
                <w:szCs w:val="18"/>
                <w:lang w:eastAsia="en-GB"/>
              </w:rPr>
              <w:t>2. ICT*</w:t>
            </w:r>
          </w:p>
          <w:p w:rsidR="004728E9" w:rsidRPr="004728E9" w:rsidRDefault="004728E9" w:rsidP="004728E9">
            <w:pPr>
              <w:shd w:val="clear" w:color="auto" w:fill="FFFFFF"/>
              <w:suppressAutoHyphens/>
              <w:autoSpaceDN w:val="0"/>
              <w:rPr>
                <w:rFonts w:ascii="Times New Roman" w:eastAsia="Times New Roman" w:hAnsi="Times New Roman" w:cs="Times New Roman"/>
                <w:szCs w:val="24"/>
                <w:lang w:eastAsia="en-GB"/>
              </w:rPr>
            </w:pPr>
            <w:r w:rsidRPr="004728E9">
              <w:rPr>
                <w:rFonts w:eastAsia="Times New Roman" w:cs="Arial"/>
                <w:color w:val="000000"/>
                <w:sz w:val="18"/>
                <w:szCs w:val="18"/>
                <w:lang w:eastAsia="en-GB"/>
              </w:rPr>
              <w:t xml:space="preserve">3. </w:t>
            </w:r>
            <w:r w:rsidRPr="004728E9">
              <w:rPr>
                <w:rFonts w:eastAsia="Times New Roman" w:cs="Arial"/>
                <w:color w:val="000000"/>
                <w:sz w:val="18"/>
                <w:szCs w:val="18"/>
                <w:shd w:val="clear" w:color="auto" w:fill="FFFF00"/>
                <w:lang w:eastAsia="en-GB"/>
              </w:rPr>
              <w:t>Infrastructure &amp; Construction*</w:t>
            </w:r>
            <w:r w:rsidRPr="004728E9">
              <w:rPr>
                <w:rFonts w:eastAsia="Times New Roman" w:cs="Arial"/>
                <w:color w:val="000000"/>
                <w:sz w:val="18"/>
                <w:szCs w:val="18"/>
                <w:lang w:eastAsia="en-GB"/>
              </w:rPr>
              <w:t xml:space="preserve"> </w:t>
            </w:r>
          </w:p>
          <w:p w:rsidR="004728E9" w:rsidRPr="004728E9" w:rsidRDefault="004728E9" w:rsidP="004728E9">
            <w:pPr>
              <w:shd w:val="clear" w:color="auto" w:fill="FFFFFF"/>
              <w:suppressAutoHyphens/>
              <w:autoSpaceDN w:val="0"/>
              <w:rPr>
                <w:rFonts w:eastAsia="Times New Roman" w:cs="Arial"/>
                <w:color w:val="000000"/>
                <w:sz w:val="18"/>
                <w:szCs w:val="18"/>
                <w:lang w:eastAsia="en-GB"/>
              </w:rPr>
            </w:pPr>
            <w:r w:rsidRPr="004728E9">
              <w:rPr>
                <w:rFonts w:eastAsia="Times New Roman" w:cs="Arial"/>
                <w:color w:val="000000"/>
                <w:sz w:val="18"/>
                <w:szCs w:val="18"/>
                <w:lang w:eastAsia="en-GB"/>
              </w:rPr>
              <w:t>4. MoD Capability*</w:t>
            </w:r>
          </w:p>
          <w:p w:rsidR="004728E9" w:rsidRPr="004728E9" w:rsidRDefault="004728E9" w:rsidP="004728E9">
            <w:pPr>
              <w:shd w:val="clear" w:color="auto" w:fill="FFFFFF"/>
              <w:suppressAutoHyphens/>
              <w:autoSpaceDN w:val="0"/>
              <w:rPr>
                <w:rFonts w:ascii="Times New Roman" w:eastAsia="Times New Roman" w:hAnsi="Times New Roman" w:cs="Times New Roman"/>
                <w:szCs w:val="24"/>
                <w:lang w:eastAsia="en-GB"/>
              </w:rPr>
            </w:pPr>
            <w:r w:rsidRPr="004728E9">
              <w:rPr>
                <w:rFonts w:eastAsia="Times New Roman" w:cs="Arial"/>
                <w:b/>
                <w:sz w:val="18"/>
                <w:szCs w:val="18"/>
                <w:lang w:eastAsia="en-GB"/>
              </w:rPr>
              <w:t>*</w:t>
            </w:r>
            <w:r w:rsidRPr="004728E9">
              <w:rPr>
                <w:rFonts w:eastAsia="Times New Roman" w:cs="Arial"/>
                <w:i/>
                <w:sz w:val="18"/>
                <w:szCs w:val="18"/>
                <w:lang w:eastAsia="en-GB"/>
              </w:rPr>
              <w:t>delete as appropriate</w:t>
            </w:r>
          </w:p>
        </w:tc>
      </w:tr>
      <w:tr w:rsidR="004728E9" w:rsidRPr="004728E9" w:rsidTr="004728E9">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bCs/>
                <w:sz w:val="18"/>
                <w:szCs w:val="18"/>
                <w:lang w:eastAsia="en-GB"/>
              </w:rPr>
              <w:t>4. Objectives and expected benefits</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i/>
                <w:sz w:val="18"/>
                <w:szCs w:val="18"/>
                <w:lang w:eastAsia="en-GB"/>
              </w:rPr>
            </w:pPr>
            <w:r w:rsidRPr="004728E9">
              <w:rPr>
                <w:rFonts w:eastAsia="Times New Roman" w:cs="Arial"/>
                <w:b/>
                <w:i/>
                <w:sz w:val="18"/>
                <w:szCs w:val="18"/>
                <w:lang w:eastAsia="en-GB"/>
              </w:rPr>
              <w:t>Cash Releasing Benefits:</w:t>
            </w:r>
          </w:p>
          <w:p w:rsidR="004728E9" w:rsidRPr="004728E9" w:rsidRDefault="004728E9" w:rsidP="004728E9">
            <w:pPr>
              <w:suppressAutoHyphens/>
              <w:autoSpaceDN w:val="0"/>
              <w:rPr>
                <w:rFonts w:eastAsia="Times New Roman" w:cs="Arial"/>
                <w:sz w:val="18"/>
                <w:szCs w:val="18"/>
                <w:lang w:eastAsia="en-GB"/>
              </w:rPr>
            </w:pPr>
            <w:r w:rsidRPr="004728E9">
              <w:rPr>
                <w:rFonts w:eastAsia="Times New Roman" w:cs="Arial"/>
                <w:sz w:val="18"/>
                <w:szCs w:val="18"/>
                <w:lang w:eastAsia="en-GB"/>
              </w:rPr>
              <w:t>Reduced Conversion Rates and Length of Stay</w:t>
            </w:r>
          </w:p>
          <w:p w:rsidR="004728E9" w:rsidRPr="004728E9" w:rsidRDefault="004728E9" w:rsidP="004728E9">
            <w:pPr>
              <w:suppressAutoHyphens/>
              <w:autoSpaceDN w:val="0"/>
              <w:rPr>
                <w:rFonts w:eastAsia="Times New Roman" w:cs="Arial"/>
                <w:sz w:val="18"/>
                <w:szCs w:val="18"/>
                <w:lang w:eastAsia="en-GB"/>
              </w:rPr>
            </w:pPr>
            <w:r w:rsidRPr="004728E9">
              <w:rPr>
                <w:rFonts w:eastAsia="Times New Roman" w:cs="Arial"/>
                <w:sz w:val="18"/>
                <w:szCs w:val="18"/>
                <w:lang w:eastAsia="en-GB"/>
              </w:rPr>
              <w:t>Energy Efficiency</w:t>
            </w:r>
          </w:p>
          <w:p w:rsidR="004728E9" w:rsidRPr="004728E9" w:rsidRDefault="004728E9" w:rsidP="004728E9">
            <w:pPr>
              <w:suppressAutoHyphens/>
              <w:autoSpaceDN w:val="0"/>
              <w:rPr>
                <w:rFonts w:eastAsia="Times New Roman" w:cs="Arial"/>
                <w:sz w:val="18"/>
                <w:szCs w:val="18"/>
                <w:lang w:eastAsia="en-GB"/>
              </w:rPr>
            </w:pPr>
            <w:r w:rsidRPr="004728E9">
              <w:rPr>
                <w:rFonts w:eastAsia="Times New Roman" w:cs="Arial"/>
                <w:sz w:val="18"/>
                <w:szCs w:val="18"/>
                <w:lang w:eastAsia="en-GB"/>
              </w:rPr>
              <w:t>Fit with Travel Plans</w:t>
            </w:r>
          </w:p>
          <w:p w:rsidR="004728E9" w:rsidRPr="004728E9" w:rsidRDefault="004728E9" w:rsidP="004728E9">
            <w:pPr>
              <w:suppressAutoHyphens/>
              <w:autoSpaceDN w:val="0"/>
              <w:rPr>
                <w:rFonts w:eastAsia="Times New Roman" w:cs="Arial"/>
                <w:sz w:val="18"/>
                <w:szCs w:val="18"/>
                <w:lang w:eastAsia="en-GB"/>
              </w:rPr>
            </w:pPr>
            <w:r w:rsidRPr="004728E9">
              <w:rPr>
                <w:rFonts w:eastAsia="Times New Roman" w:cs="Arial"/>
                <w:sz w:val="18"/>
                <w:szCs w:val="18"/>
                <w:lang w:eastAsia="en-GB"/>
              </w:rPr>
              <w:t>Potential Income from ED Clinics</w:t>
            </w:r>
          </w:p>
          <w:p w:rsidR="004728E9" w:rsidRPr="004728E9" w:rsidRDefault="004728E9" w:rsidP="004728E9">
            <w:pPr>
              <w:suppressAutoHyphens/>
              <w:autoSpaceDN w:val="0"/>
              <w:rPr>
                <w:rFonts w:eastAsia="Times New Roman" w:cs="Arial"/>
                <w:sz w:val="18"/>
                <w:szCs w:val="18"/>
                <w:lang w:eastAsia="en-GB"/>
              </w:rPr>
            </w:pPr>
            <w:r w:rsidRPr="004728E9">
              <w:rPr>
                <w:rFonts w:eastAsia="Times New Roman" w:cs="Arial"/>
                <w:sz w:val="18"/>
                <w:szCs w:val="18"/>
                <w:lang w:eastAsia="en-GB"/>
              </w:rPr>
              <w:t>Pharmacy Income / Rent</w:t>
            </w:r>
          </w:p>
          <w:p w:rsidR="004728E9" w:rsidRPr="004728E9" w:rsidRDefault="004728E9" w:rsidP="004728E9">
            <w:pPr>
              <w:suppressAutoHyphens/>
              <w:autoSpaceDN w:val="0"/>
              <w:rPr>
                <w:rFonts w:eastAsia="Times New Roman" w:cs="Arial"/>
                <w:sz w:val="18"/>
                <w:szCs w:val="18"/>
                <w:lang w:eastAsia="en-GB"/>
              </w:rPr>
            </w:pPr>
            <w:r w:rsidRPr="004728E9">
              <w:rPr>
                <w:rFonts w:eastAsia="Times New Roman" w:cs="Arial"/>
                <w:sz w:val="18"/>
                <w:szCs w:val="18"/>
                <w:lang w:eastAsia="en-GB"/>
              </w:rPr>
              <w:t>Possible Emergency Dentistry Services</w:t>
            </w:r>
          </w:p>
          <w:p w:rsidR="004728E9" w:rsidRPr="004728E9" w:rsidRDefault="004728E9" w:rsidP="004728E9">
            <w:pPr>
              <w:suppressAutoHyphens/>
              <w:autoSpaceDN w:val="0"/>
              <w:rPr>
                <w:rFonts w:eastAsia="Times New Roman" w:cs="Arial"/>
                <w:sz w:val="18"/>
                <w:szCs w:val="18"/>
                <w:lang w:eastAsia="en-GB"/>
              </w:rPr>
            </w:pPr>
            <w:r w:rsidRPr="004728E9">
              <w:rPr>
                <w:rFonts w:eastAsia="Times New Roman" w:cs="Arial"/>
                <w:sz w:val="18"/>
                <w:szCs w:val="18"/>
                <w:lang w:eastAsia="en-GB"/>
              </w:rPr>
              <w:t>Oversees Visitor Income</w:t>
            </w:r>
          </w:p>
          <w:p w:rsidR="004728E9" w:rsidRPr="004728E9" w:rsidRDefault="004728E9" w:rsidP="004728E9">
            <w:pPr>
              <w:suppressAutoHyphens/>
              <w:autoSpaceDN w:val="0"/>
              <w:rPr>
                <w:rFonts w:eastAsia="Times New Roman" w:cs="Arial"/>
                <w:b/>
                <w:i/>
                <w:sz w:val="18"/>
                <w:szCs w:val="18"/>
                <w:lang w:eastAsia="en-GB"/>
              </w:rPr>
            </w:pPr>
            <w:r w:rsidRPr="004728E9">
              <w:rPr>
                <w:rFonts w:eastAsia="Times New Roman" w:cs="Arial"/>
                <w:b/>
                <w:i/>
                <w:sz w:val="18"/>
                <w:szCs w:val="18"/>
                <w:lang w:eastAsia="en-GB"/>
              </w:rPr>
              <w:t>Non Case Releasing:</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18"/>
                <w:szCs w:val="18"/>
                <w:lang w:eastAsia="en-GB"/>
              </w:rPr>
              <w:t>Shared, more resilient workforce</w:t>
            </w:r>
            <w:r w:rsidRPr="004728E9">
              <w:rPr>
                <w:rFonts w:eastAsia="Times New Roman" w:cs="Arial"/>
                <w:sz w:val="20"/>
                <w:szCs w:val="20"/>
                <w:lang w:eastAsia="en-GB"/>
              </w:rPr>
              <w:tab/>
            </w:r>
          </w:p>
          <w:p w:rsidR="004728E9" w:rsidRPr="004728E9" w:rsidRDefault="004728E9" w:rsidP="004728E9">
            <w:pPr>
              <w:suppressAutoHyphens/>
              <w:autoSpaceDN w:val="0"/>
              <w:rPr>
                <w:rFonts w:eastAsia="Times New Roman" w:cs="Arial"/>
                <w:b/>
                <w:i/>
                <w:sz w:val="18"/>
                <w:szCs w:val="18"/>
                <w:lang w:eastAsia="en-GB"/>
              </w:rPr>
            </w:pPr>
            <w:r w:rsidRPr="004728E9">
              <w:rPr>
                <w:rFonts w:eastAsia="Times New Roman" w:cs="Arial"/>
                <w:b/>
                <w:i/>
                <w:sz w:val="18"/>
                <w:szCs w:val="18"/>
                <w:lang w:eastAsia="en-GB"/>
              </w:rPr>
              <w:t>Quantifiable Benefits:</w:t>
            </w:r>
          </w:p>
          <w:p w:rsidR="004728E9" w:rsidRPr="004728E9" w:rsidRDefault="004728E9" w:rsidP="004728E9">
            <w:pPr>
              <w:suppressAutoHyphens/>
              <w:autoSpaceDN w:val="0"/>
              <w:rPr>
                <w:rFonts w:eastAsia="Times New Roman" w:cs="Arial"/>
                <w:sz w:val="18"/>
                <w:szCs w:val="18"/>
                <w:lang w:eastAsia="en-GB"/>
              </w:rPr>
            </w:pPr>
            <w:r w:rsidRPr="004728E9">
              <w:rPr>
                <w:rFonts w:eastAsia="Times New Roman" w:cs="Arial"/>
                <w:sz w:val="18"/>
                <w:szCs w:val="18"/>
                <w:lang w:eastAsia="en-GB"/>
              </w:rPr>
              <w:t>Patient Outcomes</w:t>
            </w:r>
          </w:p>
          <w:p w:rsidR="004728E9" w:rsidRPr="004728E9" w:rsidRDefault="004728E9" w:rsidP="004728E9">
            <w:pPr>
              <w:suppressAutoHyphens/>
              <w:autoSpaceDN w:val="0"/>
              <w:rPr>
                <w:rFonts w:eastAsia="Times New Roman" w:cs="Arial"/>
                <w:sz w:val="18"/>
                <w:szCs w:val="18"/>
                <w:lang w:eastAsia="en-GB"/>
              </w:rPr>
            </w:pPr>
            <w:r w:rsidRPr="004728E9">
              <w:rPr>
                <w:rFonts w:eastAsia="Times New Roman" w:cs="Arial"/>
                <w:sz w:val="18"/>
                <w:szCs w:val="18"/>
                <w:lang w:eastAsia="en-GB"/>
              </w:rPr>
              <w:t>Improved recruitment</w:t>
            </w:r>
          </w:p>
          <w:p w:rsidR="004728E9" w:rsidRPr="004728E9" w:rsidRDefault="004728E9" w:rsidP="004728E9">
            <w:pPr>
              <w:suppressAutoHyphens/>
              <w:autoSpaceDN w:val="0"/>
              <w:rPr>
                <w:rFonts w:eastAsia="Times New Roman" w:cs="Arial"/>
                <w:sz w:val="18"/>
                <w:szCs w:val="18"/>
                <w:lang w:eastAsia="en-GB"/>
              </w:rPr>
            </w:pPr>
            <w:r w:rsidRPr="004728E9">
              <w:rPr>
                <w:rFonts w:eastAsia="Times New Roman" w:cs="Arial"/>
                <w:sz w:val="18"/>
                <w:szCs w:val="18"/>
                <w:lang w:eastAsia="en-GB"/>
              </w:rPr>
              <w:t>Staff satisfaction</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i/>
                <w:sz w:val="18"/>
                <w:szCs w:val="18"/>
                <w:lang w:eastAsia="en-GB"/>
              </w:rPr>
              <w:t>Qualitative Benefits:</w:t>
            </w:r>
          </w:p>
          <w:p w:rsidR="004728E9" w:rsidRPr="004728E9" w:rsidRDefault="004728E9" w:rsidP="004728E9">
            <w:pPr>
              <w:suppressAutoHyphens/>
              <w:autoSpaceDN w:val="0"/>
              <w:rPr>
                <w:rFonts w:eastAsia="Times New Roman" w:cs="Arial"/>
                <w:sz w:val="18"/>
                <w:szCs w:val="18"/>
                <w:lang w:eastAsia="en-GB"/>
              </w:rPr>
            </w:pPr>
            <w:r w:rsidRPr="004728E9">
              <w:rPr>
                <w:rFonts w:eastAsia="Times New Roman" w:cs="Arial"/>
                <w:sz w:val="18"/>
                <w:szCs w:val="18"/>
                <w:lang w:eastAsia="en-GB"/>
              </w:rPr>
              <w:t>Better access</w:t>
            </w:r>
          </w:p>
          <w:p w:rsidR="004728E9" w:rsidRPr="004728E9" w:rsidRDefault="004728E9" w:rsidP="004728E9">
            <w:pPr>
              <w:suppressAutoHyphens/>
              <w:autoSpaceDN w:val="0"/>
              <w:rPr>
                <w:rFonts w:eastAsia="Times New Roman" w:cs="Arial"/>
                <w:sz w:val="18"/>
                <w:szCs w:val="18"/>
                <w:lang w:eastAsia="en-GB"/>
              </w:rPr>
            </w:pPr>
            <w:r w:rsidRPr="004728E9">
              <w:rPr>
                <w:rFonts w:eastAsia="Times New Roman" w:cs="Arial"/>
                <w:sz w:val="18"/>
                <w:szCs w:val="18"/>
                <w:lang w:eastAsia="en-GB"/>
              </w:rPr>
              <w:t>Improved patient satisfaction</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18"/>
                <w:szCs w:val="18"/>
                <w:lang w:eastAsia="en-GB"/>
              </w:rPr>
              <w:t>Productivity</w:t>
            </w:r>
          </w:p>
        </w:tc>
      </w:tr>
      <w:tr w:rsidR="004728E9" w:rsidRPr="004728E9" w:rsidTr="004728E9">
        <w:trPr>
          <w:trHeight w:val="365"/>
        </w:trPr>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bCs/>
                <w:sz w:val="18"/>
                <w:szCs w:val="18"/>
                <w:lang w:eastAsia="en-GB"/>
              </w:rPr>
            </w:pPr>
            <w:r w:rsidRPr="004728E9">
              <w:rPr>
                <w:rFonts w:eastAsia="Times New Roman" w:cs="Arial"/>
                <w:b/>
                <w:bCs/>
                <w:sz w:val="18"/>
                <w:szCs w:val="18"/>
                <w:lang w:eastAsia="en-GB"/>
              </w:rPr>
              <w:t>5. Department, Agency, or NDPB name</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bCs/>
                <w:sz w:val="18"/>
                <w:szCs w:val="18"/>
                <w:lang w:eastAsia="en-GB"/>
              </w:rPr>
              <w:t xml:space="preserve">    &amp; parent department name </w:t>
            </w:r>
            <w:r w:rsidRPr="004728E9">
              <w:rPr>
                <w:rFonts w:eastAsia="Times New Roman" w:cs="Arial"/>
                <w:sz w:val="20"/>
                <w:szCs w:val="20"/>
                <w:lang w:eastAsia="en-GB"/>
              </w:rPr>
              <w:t>(if applicable)</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Name:  Emergency Department, Pilgrim Hospital Boston</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lang w:eastAsia="en-GB"/>
              </w:rPr>
              <w:t xml:space="preserve">Parent </w:t>
            </w:r>
            <w:proofErr w:type="spellStart"/>
            <w:r w:rsidRPr="004728E9">
              <w:rPr>
                <w:rFonts w:eastAsia="Times New Roman" w:cs="Arial"/>
                <w:b/>
                <w:sz w:val="20"/>
                <w:szCs w:val="20"/>
                <w:lang w:eastAsia="en-GB"/>
              </w:rPr>
              <w:t>Dept</w:t>
            </w:r>
            <w:proofErr w:type="spellEnd"/>
            <w:r w:rsidRPr="004728E9">
              <w:rPr>
                <w:rFonts w:eastAsia="Times New Roman" w:cs="Arial"/>
                <w:b/>
                <w:sz w:val="20"/>
                <w:szCs w:val="20"/>
                <w:lang w:eastAsia="en-GB"/>
              </w:rPr>
              <w:t>: Division of Medicine, United Lincolnshire Hospitals</w:t>
            </w:r>
          </w:p>
        </w:tc>
      </w:tr>
      <w:tr w:rsidR="004728E9" w:rsidRPr="004728E9" w:rsidTr="004728E9">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ind w:left="159" w:hanging="159"/>
              <w:rPr>
                <w:rFonts w:eastAsia="Times New Roman" w:cs="Arial"/>
                <w:b/>
                <w:bCs/>
                <w:sz w:val="18"/>
                <w:szCs w:val="18"/>
                <w:lang w:eastAsia="en-GB"/>
              </w:rPr>
            </w:pPr>
            <w:r w:rsidRPr="004728E9">
              <w:rPr>
                <w:rFonts w:eastAsia="Times New Roman" w:cs="Arial"/>
                <w:b/>
                <w:bCs/>
                <w:sz w:val="18"/>
                <w:szCs w:val="18"/>
                <w:lang w:eastAsia="en-GB"/>
              </w:rPr>
              <w:t xml:space="preserve">6. Contact Details: </w:t>
            </w:r>
          </w:p>
          <w:p w:rsidR="004728E9" w:rsidRPr="004728E9" w:rsidRDefault="004728E9" w:rsidP="004728E9">
            <w:pPr>
              <w:suppressAutoHyphens/>
              <w:autoSpaceDN w:val="0"/>
              <w:ind w:left="159" w:hanging="159"/>
              <w:rPr>
                <w:rFonts w:ascii="Times New Roman" w:eastAsia="Times New Roman" w:hAnsi="Times New Roman" w:cs="Times New Roman"/>
                <w:szCs w:val="24"/>
                <w:lang w:eastAsia="en-GB"/>
              </w:rPr>
            </w:pPr>
            <w:r w:rsidRPr="004728E9">
              <w:rPr>
                <w:rFonts w:eastAsia="Times New Roman" w:cs="Arial"/>
                <w:b/>
                <w:bCs/>
                <w:sz w:val="18"/>
                <w:szCs w:val="18"/>
                <w:lang w:eastAsia="en-GB"/>
              </w:rPr>
              <w:t xml:space="preserve">   Senior Policy Owner (SPO)</w:t>
            </w:r>
            <w:r w:rsidRPr="004728E9">
              <w:rPr>
                <w:rFonts w:eastAsia="Times New Roman" w:cs="Arial"/>
                <w:bCs/>
                <w:sz w:val="18"/>
                <w:szCs w:val="18"/>
                <w:lang w:eastAsia="en-GB"/>
              </w:rPr>
              <w:t xml:space="preserve"> </w:t>
            </w:r>
            <w:r w:rsidRPr="004728E9">
              <w:rPr>
                <w:rFonts w:eastAsia="Times New Roman" w:cs="Arial"/>
                <w:bCs/>
                <w:i/>
                <w:sz w:val="18"/>
                <w:szCs w:val="18"/>
                <w:lang w:eastAsia="en-GB"/>
              </w:rPr>
              <w:t xml:space="preserve">(for Starting Gate)         </w:t>
            </w:r>
          </w:p>
          <w:p w:rsidR="004728E9" w:rsidRPr="004728E9" w:rsidRDefault="004728E9" w:rsidP="004728E9">
            <w:pPr>
              <w:suppressAutoHyphens/>
              <w:autoSpaceDN w:val="0"/>
              <w:ind w:left="159" w:hanging="159"/>
              <w:rPr>
                <w:rFonts w:ascii="Times New Roman" w:eastAsia="Times New Roman" w:hAnsi="Times New Roman" w:cs="Times New Roman"/>
                <w:szCs w:val="24"/>
                <w:lang w:eastAsia="en-GB"/>
              </w:rPr>
            </w:pPr>
            <w:r w:rsidRPr="004728E9">
              <w:rPr>
                <w:rFonts w:eastAsia="Times New Roman" w:cs="Arial"/>
                <w:b/>
                <w:bCs/>
                <w:sz w:val="18"/>
                <w:szCs w:val="18"/>
                <w:lang w:eastAsia="en-GB"/>
              </w:rPr>
              <w:t xml:space="preserve">   Senior Responsible Officer (SRO) </w:t>
            </w:r>
          </w:p>
          <w:p w:rsidR="004728E9" w:rsidRPr="004728E9" w:rsidRDefault="004728E9" w:rsidP="004728E9">
            <w:pPr>
              <w:suppressAutoHyphens/>
              <w:autoSpaceDN w:val="0"/>
              <w:ind w:left="159" w:hanging="159"/>
              <w:rPr>
                <w:rFonts w:eastAsia="Times New Roman" w:cs="Arial"/>
                <w:bCs/>
                <w:i/>
                <w:sz w:val="18"/>
                <w:szCs w:val="18"/>
                <w:lang w:eastAsia="en-GB"/>
              </w:rPr>
            </w:pPr>
            <w:r w:rsidRPr="004728E9">
              <w:rPr>
                <w:rFonts w:eastAsia="Times New Roman" w:cs="Arial"/>
                <w:bCs/>
                <w:i/>
                <w:sz w:val="18"/>
                <w:szCs w:val="18"/>
                <w:lang w:eastAsia="en-GB"/>
              </w:rPr>
              <w:t xml:space="preserve">  (for existing project or programme)</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Name:  Mark Brassington, Chief Operating Officer</w:t>
            </w:r>
          </w:p>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 xml:space="preserve">Address:  Lincoln County Hospital, </w:t>
            </w:r>
            <w:proofErr w:type="spellStart"/>
            <w:r w:rsidRPr="004728E9">
              <w:rPr>
                <w:rFonts w:eastAsia="Times New Roman" w:cs="Arial"/>
                <w:b/>
                <w:sz w:val="18"/>
                <w:szCs w:val="18"/>
                <w:lang w:eastAsia="en-GB"/>
              </w:rPr>
              <w:t>Greetwell</w:t>
            </w:r>
            <w:proofErr w:type="spellEnd"/>
            <w:r w:rsidRPr="004728E9">
              <w:rPr>
                <w:rFonts w:eastAsia="Times New Roman" w:cs="Arial"/>
                <w:b/>
                <w:sz w:val="18"/>
                <w:szCs w:val="18"/>
                <w:lang w:eastAsia="en-GB"/>
              </w:rPr>
              <w:t xml:space="preserve"> Road, Lincoln LN2 5QY</w:t>
            </w:r>
          </w:p>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 xml:space="preserve">Telephone No.  01522 573013   </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18"/>
                <w:szCs w:val="18"/>
                <w:lang w:eastAsia="en-GB"/>
              </w:rPr>
              <w:t>Email:  mark.brassington@ulh.nhs.uk</w:t>
            </w:r>
          </w:p>
        </w:tc>
      </w:tr>
      <w:tr w:rsidR="004728E9" w:rsidRPr="004728E9" w:rsidTr="004728E9">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bCs/>
                <w:sz w:val="18"/>
                <w:szCs w:val="18"/>
                <w:lang w:eastAsia="en-GB"/>
              </w:rPr>
            </w:pPr>
            <w:r w:rsidRPr="004728E9">
              <w:rPr>
                <w:rFonts w:eastAsia="Times New Roman" w:cs="Arial"/>
                <w:b/>
                <w:bCs/>
                <w:sz w:val="18"/>
                <w:szCs w:val="18"/>
                <w:lang w:eastAsia="en-GB"/>
              </w:rPr>
              <w:t>7. Programme Director details</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Name:   Andrew Prydderch, Deputy Director of Operations</w:t>
            </w:r>
          </w:p>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 xml:space="preserve">Address:  Lincoln County Hospital, </w:t>
            </w:r>
            <w:proofErr w:type="spellStart"/>
            <w:r w:rsidRPr="004728E9">
              <w:rPr>
                <w:rFonts w:eastAsia="Times New Roman" w:cs="Arial"/>
                <w:b/>
                <w:sz w:val="18"/>
                <w:szCs w:val="18"/>
                <w:lang w:eastAsia="en-GB"/>
              </w:rPr>
              <w:t>Greetwell</w:t>
            </w:r>
            <w:proofErr w:type="spellEnd"/>
            <w:r w:rsidRPr="004728E9">
              <w:rPr>
                <w:rFonts w:eastAsia="Times New Roman" w:cs="Arial"/>
                <w:b/>
                <w:sz w:val="18"/>
                <w:szCs w:val="18"/>
                <w:lang w:eastAsia="en-GB"/>
              </w:rPr>
              <w:t xml:space="preserve"> Road, Lincoln LN2 5QY</w:t>
            </w:r>
          </w:p>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Telephone No.  01522 573305</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18"/>
                <w:szCs w:val="18"/>
                <w:lang w:eastAsia="en-GB"/>
              </w:rPr>
              <w:t>Email:  andrew.prydderch@ulh.nhs.uk</w:t>
            </w:r>
          </w:p>
        </w:tc>
      </w:tr>
      <w:tr w:rsidR="004728E9" w:rsidRPr="004728E9" w:rsidTr="004728E9">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8. Primary contact point for administration of</w:t>
            </w:r>
          </w:p>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 xml:space="preserve">    assurance reviews </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18"/>
                <w:szCs w:val="18"/>
                <w:lang w:eastAsia="en-GB"/>
              </w:rPr>
              <w:t xml:space="preserve"> </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Name:   Andrew Prydderch, Deputy Director of Operations</w:t>
            </w:r>
          </w:p>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 xml:space="preserve">Address:  Lincoln County Hospital, </w:t>
            </w:r>
            <w:proofErr w:type="spellStart"/>
            <w:r w:rsidRPr="004728E9">
              <w:rPr>
                <w:rFonts w:eastAsia="Times New Roman" w:cs="Arial"/>
                <w:b/>
                <w:sz w:val="18"/>
                <w:szCs w:val="18"/>
                <w:lang w:eastAsia="en-GB"/>
              </w:rPr>
              <w:t>Greetwell</w:t>
            </w:r>
            <w:proofErr w:type="spellEnd"/>
            <w:r w:rsidRPr="004728E9">
              <w:rPr>
                <w:rFonts w:eastAsia="Times New Roman" w:cs="Arial"/>
                <w:b/>
                <w:sz w:val="18"/>
                <w:szCs w:val="18"/>
                <w:lang w:eastAsia="en-GB"/>
              </w:rPr>
              <w:t xml:space="preserve"> Road, Lincoln LN2 5QY</w:t>
            </w:r>
          </w:p>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Telephone No.  01522 573305</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18"/>
                <w:szCs w:val="18"/>
                <w:lang w:eastAsia="en-GB"/>
              </w:rPr>
              <w:t>Email:  andrew.prydderch@ulh.nhs.uk</w:t>
            </w:r>
          </w:p>
        </w:tc>
      </w:tr>
      <w:tr w:rsidR="004728E9" w:rsidRPr="004728E9" w:rsidTr="004728E9">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9. If a programme, please list names of the</w:t>
            </w:r>
          </w:p>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 xml:space="preserve">    </w:t>
            </w:r>
            <w:proofErr w:type="gramStart"/>
            <w:r w:rsidRPr="004728E9">
              <w:rPr>
                <w:rFonts w:eastAsia="Times New Roman" w:cs="Arial"/>
                <w:b/>
                <w:sz w:val="18"/>
                <w:szCs w:val="18"/>
                <w:lang w:eastAsia="en-GB"/>
              </w:rPr>
              <w:t>constituent</w:t>
            </w:r>
            <w:proofErr w:type="gramEnd"/>
            <w:r w:rsidRPr="004728E9">
              <w:rPr>
                <w:rFonts w:eastAsia="Times New Roman" w:cs="Arial"/>
                <w:b/>
                <w:sz w:val="18"/>
                <w:szCs w:val="18"/>
                <w:lang w:eastAsia="en-GB"/>
              </w:rPr>
              <w:t xml:space="preserve"> projects. </w:t>
            </w:r>
          </w:p>
          <w:p w:rsidR="004728E9" w:rsidRPr="004728E9" w:rsidRDefault="004728E9" w:rsidP="004728E9">
            <w:pPr>
              <w:suppressAutoHyphens/>
              <w:autoSpaceDN w:val="0"/>
              <w:ind w:left="159" w:hanging="159"/>
              <w:rPr>
                <w:rFonts w:eastAsia="Times New Roman" w:cs="Arial"/>
                <w:b/>
                <w:sz w:val="18"/>
                <w:szCs w:val="18"/>
                <w:lang w:eastAsia="en-GB"/>
              </w:rPr>
            </w:pPr>
            <w:r w:rsidRPr="004728E9">
              <w:rPr>
                <w:rFonts w:eastAsia="Times New Roman" w:cs="Arial"/>
                <w:b/>
                <w:sz w:val="18"/>
                <w:szCs w:val="18"/>
                <w:lang w:eastAsia="en-GB"/>
              </w:rPr>
              <w:t xml:space="preserve">    If a project, please give name of the over -       arching programme. </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rPr>
                <w:rFonts w:eastAsia="Times New Roman" w:cs="Arial"/>
                <w:b/>
                <w:sz w:val="18"/>
                <w:szCs w:val="18"/>
                <w:lang w:eastAsia="en-GB"/>
              </w:rPr>
            </w:pPr>
          </w:p>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Lincolnshire Urgent and Emergency Care Delivery</w:t>
            </w:r>
          </w:p>
          <w:p w:rsidR="004728E9" w:rsidRPr="004728E9" w:rsidRDefault="004728E9" w:rsidP="004728E9">
            <w:pPr>
              <w:suppressAutoHyphens/>
              <w:autoSpaceDN w:val="0"/>
              <w:rPr>
                <w:rFonts w:eastAsia="Times New Roman" w:cs="Arial"/>
                <w:b/>
                <w:sz w:val="18"/>
                <w:szCs w:val="18"/>
                <w:lang w:eastAsia="en-GB"/>
              </w:rPr>
            </w:pPr>
          </w:p>
          <w:p w:rsidR="004728E9" w:rsidRPr="004728E9" w:rsidRDefault="004728E9" w:rsidP="004728E9">
            <w:pPr>
              <w:suppressAutoHyphens/>
              <w:autoSpaceDN w:val="0"/>
              <w:rPr>
                <w:rFonts w:eastAsia="Times New Roman" w:cs="Arial"/>
                <w:b/>
                <w:sz w:val="20"/>
                <w:szCs w:val="20"/>
                <w:lang w:eastAsia="en-GB"/>
              </w:rPr>
            </w:pPr>
          </w:p>
        </w:tc>
      </w:tr>
      <w:tr w:rsidR="004728E9" w:rsidRPr="004728E9" w:rsidTr="004728E9">
        <w:trPr>
          <w:trHeight w:val="836"/>
        </w:trPr>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10. Costs</w:t>
            </w:r>
          </w:p>
          <w:p w:rsidR="004728E9" w:rsidRPr="004728E9" w:rsidRDefault="004728E9" w:rsidP="004728E9">
            <w:pPr>
              <w:suppressAutoHyphens/>
              <w:autoSpaceDN w:val="0"/>
              <w:rPr>
                <w:rFonts w:eastAsia="Times New Roman" w:cs="Arial"/>
                <w:i/>
                <w:sz w:val="18"/>
                <w:szCs w:val="18"/>
                <w:lang w:eastAsia="en-GB"/>
              </w:rPr>
            </w:pPr>
            <w:r w:rsidRPr="004728E9">
              <w:rPr>
                <w:rFonts w:eastAsia="Times New Roman" w:cs="Arial"/>
                <w:i/>
                <w:sz w:val="18"/>
                <w:szCs w:val="18"/>
                <w:lang w:eastAsia="en-GB"/>
              </w:rPr>
              <w:t xml:space="preserve">      (Indicative estimate or as defined in latest</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i/>
                <w:sz w:val="18"/>
                <w:szCs w:val="18"/>
                <w:lang w:eastAsia="en-GB"/>
              </w:rPr>
              <w:t xml:space="preserve">      business case)</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Capital: £36.8M</w:t>
            </w:r>
          </w:p>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Operational (Running costs): £0.3M</w:t>
            </w:r>
          </w:p>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Whole life: £</w:t>
            </w:r>
          </w:p>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Business Case Status: Submitted OBC</w:t>
            </w:r>
          </w:p>
        </w:tc>
      </w:tr>
      <w:tr w:rsidR="004728E9" w:rsidRPr="004728E9" w:rsidTr="004728E9">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11. Expected duration (</w:t>
            </w:r>
            <w:proofErr w:type="spellStart"/>
            <w:r w:rsidRPr="004728E9">
              <w:rPr>
                <w:rFonts w:eastAsia="Times New Roman" w:cs="Arial"/>
                <w:b/>
                <w:sz w:val="18"/>
                <w:szCs w:val="18"/>
                <w:lang w:eastAsia="en-GB"/>
              </w:rPr>
              <w:t>yrs</w:t>
            </w:r>
            <w:proofErr w:type="spellEnd"/>
            <w:r w:rsidRPr="004728E9">
              <w:rPr>
                <w:rFonts w:eastAsia="Times New Roman" w:cs="Arial"/>
                <w:b/>
                <w:sz w:val="18"/>
                <w:szCs w:val="18"/>
                <w:lang w:eastAsia="en-GB"/>
              </w:rPr>
              <w:t>) of major contract or</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18"/>
                <w:szCs w:val="18"/>
                <w:lang w:eastAsia="en-GB"/>
              </w:rPr>
              <w:t xml:space="preserve">      service </w:t>
            </w:r>
            <w:r w:rsidRPr="004728E9">
              <w:rPr>
                <w:rFonts w:eastAsia="Times New Roman" w:cs="Arial"/>
                <w:sz w:val="18"/>
                <w:szCs w:val="18"/>
                <w:lang w:eastAsia="en-GB"/>
              </w:rPr>
              <w:t>(if known &amp; appropriate)</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 </w:t>
            </w:r>
          </w:p>
        </w:tc>
      </w:tr>
      <w:tr w:rsidR="004728E9" w:rsidRPr="004728E9" w:rsidTr="004728E9">
        <w:trPr>
          <w:trHeight w:val="472"/>
        </w:trPr>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tcPr>
          <w:p w:rsidR="004728E9" w:rsidRPr="004728E9" w:rsidRDefault="004728E9" w:rsidP="004728E9">
            <w:pPr>
              <w:suppressAutoHyphens/>
              <w:autoSpaceDN w:val="0"/>
              <w:rPr>
                <w:rFonts w:eastAsia="Times New Roman" w:cs="Arial"/>
                <w:b/>
                <w:bCs/>
                <w:sz w:val="18"/>
                <w:szCs w:val="18"/>
                <w:lang w:eastAsia="en-GB"/>
              </w:rPr>
            </w:pPr>
            <w:r w:rsidRPr="004728E9">
              <w:rPr>
                <w:rFonts w:eastAsia="Times New Roman" w:cs="Arial"/>
                <w:b/>
                <w:bCs/>
                <w:sz w:val="18"/>
                <w:szCs w:val="18"/>
                <w:lang w:eastAsia="en-GB"/>
              </w:rPr>
              <w:t>12. Next planned review</w:t>
            </w:r>
          </w:p>
          <w:p w:rsidR="004728E9" w:rsidRPr="004728E9" w:rsidRDefault="004728E9" w:rsidP="004728E9">
            <w:pPr>
              <w:suppressAutoHyphens/>
              <w:autoSpaceDN w:val="0"/>
              <w:rPr>
                <w:rFonts w:eastAsia="Times New Roman" w:cs="Arial"/>
                <w:b/>
                <w:sz w:val="18"/>
                <w:szCs w:val="18"/>
                <w:lang w:eastAsia="en-GB"/>
              </w:rPr>
            </w:pP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 xml:space="preserve">Project Validation Review (PVR) * </w:t>
            </w:r>
          </w:p>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Project Assessment Review (PAR) *  </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18"/>
                <w:szCs w:val="18"/>
                <w:lang w:eastAsia="en-GB"/>
              </w:rPr>
              <w:t xml:space="preserve">Gate 0, 1, 2, 3, 4, 5 *                                                      </w:t>
            </w:r>
            <w:r w:rsidRPr="004728E9">
              <w:rPr>
                <w:rFonts w:eastAsia="Times New Roman" w:cs="Arial"/>
                <w:b/>
                <w:i/>
                <w:sz w:val="18"/>
                <w:szCs w:val="18"/>
                <w:lang w:eastAsia="en-GB"/>
              </w:rPr>
              <w:t xml:space="preserve">* </w:t>
            </w:r>
            <w:r w:rsidRPr="004728E9">
              <w:rPr>
                <w:rFonts w:eastAsia="Times New Roman" w:cs="Arial"/>
                <w:i/>
                <w:sz w:val="18"/>
                <w:szCs w:val="18"/>
                <w:lang w:eastAsia="en-GB"/>
              </w:rPr>
              <w:t>delete as appropriate</w:t>
            </w:r>
          </w:p>
        </w:tc>
      </w:tr>
      <w:tr w:rsidR="004728E9" w:rsidRPr="004728E9" w:rsidTr="004728E9">
        <w:trPr>
          <w:trHeight w:val="371"/>
        </w:trPr>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bCs/>
                <w:sz w:val="18"/>
                <w:szCs w:val="18"/>
                <w:lang w:eastAsia="en-GB"/>
              </w:rPr>
            </w:pPr>
            <w:r w:rsidRPr="004728E9">
              <w:rPr>
                <w:rFonts w:eastAsia="Times New Roman" w:cs="Arial"/>
                <w:b/>
                <w:bCs/>
                <w:sz w:val="18"/>
                <w:szCs w:val="18"/>
                <w:lang w:eastAsia="en-GB"/>
              </w:rPr>
              <w:t xml:space="preserve">13. Requested start date for next review </w:t>
            </w:r>
          </w:p>
          <w:p w:rsidR="004728E9" w:rsidRPr="004728E9" w:rsidRDefault="004728E9" w:rsidP="004728E9">
            <w:pPr>
              <w:suppressAutoHyphens/>
              <w:autoSpaceDN w:val="0"/>
              <w:ind w:left="301"/>
              <w:rPr>
                <w:rFonts w:ascii="Times New Roman" w:eastAsia="Times New Roman" w:hAnsi="Times New Roman" w:cs="Times New Roman"/>
                <w:szCs w:val="24"/>
                <w:lang w:eastAsia="en-GB"/>
              </w:rPr>
            </w:pPr>
            <w:r w:rsidRPr="004728E9">
              <w:rPr>
                <w:rFonts w:eastAsia="Times New Roman" w:cs="Arial"/>
                <w:bCs/>
                <w:i/>
                <w:sz w:val="18"/>
                <w:szCs w:val="18"/>
                <w:lang w:eastAsia="en-GB"/>
              </w:rPr>
              <w:t>(This should be approximately 12 weeks after the Assessment meeting)</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Week Commencing Date:</w:t>
            </w:r>
          </w:p>
          <w:p w:rsidR="004728E9" w:rsidRPr="004728E9" w:rsidRDefault="004728E9" w:rsidP="004728E9">
            <w:pPr>
              <w:suppressAutoHyphens/>
              <w:autoSpaceDN w:val="0"/>
              <w:rPr>
                <w:rFonts w:eastAsia="Times New Roman" w:cs="Arial"/>
                <w:b/>
                <w:sz w:val="18"/>
                <w:szCs w:val="18"/>
                <w:lang w:eastAsia="en-GB"/>
              </w:rPr>
            </w:pPr>
          </w:p>
        </w:tc>
      </w:tr>
      <w:tr w:rsidR="004728E9" w:rsidRPr="004728E9" w:rsidTr="004728E9">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tcPr>
          <w:p w:rsidR="004728E9" w:rsidRPr="004728E9" w:rsidRDefault="004728E9" w:rsidP="004728E9">
            <w:pPr>
              <w:suppressAutoHyphens/>
              <w:autoSpaceDN w:val="0"/>
              <w:rPr>
                <w:rFonts w:eastAsia="Times New Roman" w:cs="Arial"/>
                <w:b/>
                <w:bCs/>
                <w:sz w:val="18"/>
                <w:szCs w:val="18"/>
                <w:lang w:eastAsia="en-GB"/>
              </w:rPr>
            </w:pPr>
            <w:r w:rsidRPr="004728E9">
              <w:rPr>
                <w:rFonts w:eastAsia="Times New Roman" w:cs="Arial"/>
                <w:b/>
                <w:bCs/>
                <w:sz w:val="18"/>
                <w:szCs w:val="18"/>
                <w:lang w:eastAsia="en-GB"/>
              </w:rPr>
              <w:t>14. Overall Assessment</w:t>
            </w:r>
          </w:p>
          <w:p w:rsidR="004728E9" w:rsidRPr="004728E9" w:rsidRDefault="004728E9" w:rsidP="004728E9">
            <w:pPr>
              <w:suppressAutoHyphens/>
              <w:autoSpaceDN w:val="0"/>
              <w:ind w:left="301"/>
              <w:rPr>
                <w:rFonts w:eastAsia="Times New Roman" w:cs="Arial"/>
                <w:bCs/>
                <w:i/>
                <w:sz w:val="18"/>
                <w:szCs w:val="18"/>
                <w:lang w:eastAsia="en-GB"/>
              </w:rPr>
            </w:pPr>
            <w:r w:rsidRPr="004728E9">
              <w:rPr>
                <w:rFonts w:eastAsia="Times New Roman" w:cs="Arial"/>
                <w:bCs/>
                <w:i/>
                <w:sz w:val="18"/>
                <w:szCs w:val="18"/>
                <w:lang w:eastAsia="en-GB"/>
              </w:rPr>
              <w:t>Derived from Table C</w:t>
            </w:r>
          </w:p>
          <w:p w:rsidR="004728E9" w:rsidRPr="004728E9" w:rsidRDefault="004728E9" w:rsidP="004728E9">
            <w:pPr>
              <w:suppressAutoHyphens/>
              <w:autoSpaceDN w:val="0"/>
              <w:rPr>
                <w:rFonts w:eastAsia="Times New Roman" w:cs="Arial"/>
                <w:b/>
                <w:sz w:val="18"/>
                <w:szCs w:val="18"/>
                <w:lang w:eastAsia="en-GB"/>
              </w:rPr>
            </w:pP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bCs/>
                <w:sz w:val="18"/>
                <w:szCs w:val="18"/>
                <w:lang w:eastAsia="en-GB"/>
              </w:rPr>
              <w:t xml:space="preserve">Low/Medium/High*   HIGH                                            </w:t>
            </w:r>
            <w:r w:rsidRPr="004728E9">
              <w:rPr>
                <w:rFonts w:eastAsia="Times New Roman" w:cs="Arial"/>
                <w:b/>
                <w:i/>
                <w:sz w:val="18"/>
                <w:szCs w:val="18"/>
                <w:lang w:eastAsia="en-GB"/>
              </w:rPr>
              <w:t xml:space="preserve">* </w:t>
            </w:r>
            <w:r w:rsidRPr="004728E9">
              <w:rPr>
                <w:rFonts w:eastAsia="Times New Roman" w:cs="Arial"/>
                <w:i/>
                <w:sz w:val="18"/>
                <w:szCs w:val="18"/>
                <w:lang w:eastAsia="en-GB"/>
              </w:rPr>
              <w:t>delete as appropriate</w:t>
            </w:r>
            <w:r w:rsidRPr="004728E9">
              <w:rPr>
                <w:rFonts w:eastAsia="Times New Roman" w:cs="Arial"/>
                <w:b/>
                <w:bCs/>
                <w:sz w:val="18"/>
                <w:szCs w:val="18"/>
                <w:lang w:eastAsia="en-GB"/>
              </w:rPr>
              <w:t xml:space="preserve"> </w:t>
            </w:r>
          </w:p>
        </w:tc>
      </w:tr>
      <w:tr w:rsidR="004728E9" w:rsidRPr="004728E9" w:rsidTr="004728E9">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lastRenderedPageBreak/>
              <w:t xml:space="preserve">15. Date of previous assurance review </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18"/>
                <w:szCs w:val="18"/>
                <w:lang w:eastAsia="en-GB"/>
              </w:rPr>
              <w:t xml:space="preserve">      &amp; IPA ID No.</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Type of Review:                                              Date:</w:t>
            </w:r>
          </w:p>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ID No.</w:t>
            </w:r>
          </w:p>
        </w:tc>
      </w:tr>
      <w:tr w:rsidR="004728E9" w:rsidRPr="004728E9" w:rsidTr="004728E9">
        <w:trPr>
          <w:trHeight w:val="343"/>
        </w:trPr>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16. Name of responsible Minister</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rPr>
                <w:rFonts w:eastAsia="Times New Roman" w:cs="Arial"/>
                <w:b/>
                <w:sz w:val="18"/>
                <w:szCs w:val="18"/>
                <w:lang w:eastAsia="en-GB"/>
              </w:rPr>
            </w:pPr>
          </w:p>
        </w:tc>
      </w:tr>
      <w:tr w:rsidR="004728E9" w:rsidRPr="004728E9" w:rsidTr="004728E9">
        <w:trPr>
          <w:trHeight w:val="345"/>
        </w:trPr>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 xml:space="preserve">17. RPA approved by SRO (or could be Senior     </w:t>
            </w:r>
          </w:p>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 xml:space="preserve">      Policy Owner if for a PVR)</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Name:                                                              Date:</w:t>
            </w:r>
          </w:p>
        </w:tc>
      </w:tr>
      <w:tr w:rsidR="004728E9" w:rsidRPr="004728E9" w:rsidTr="004728E9">
        <w:trPr>
          <w:trHeight w:val="341"/>
        </w:trPr>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ind w:left="301" w:hanging="301"/>
              <w:rPr>
                <w:rFonts w:eastAsia="Times New Roman" w:cs="Arial"/>
                <w:b/>
                <w:sz w:val="18"/>
                <w:szCs w:val="18"/>
                <w:lang w:eastAsia="en-GB"/>
              </w:rPr>
            </w:pPr>
            <w:r w:rsidRPr="004728E9">
              <w:rPr>
                <w:rFonts w:eastAsia="Times New Roman" w:cs="Arial"/>
                <w:b/>
                <w:sz w:val="18"/>
                <w:szCs w:val="18"/>
                <w:lang w:eastAsia="en-GB"/>
              </w:rPr>
              <w:t>18. Validated by organisation’s Portfolio       Manager or an equivalent e.g.</w:t>
            </w:r>
          </w:p>
          <w:p w:rsidR="004728E9" w:rsidRPr="004728E9" w:rsidRDefault="004728E9" w:rsidP="004728E9">
            <w:pPr>
              <w:suppressAutoHyphens/>
              <w:autoSpaceDN w:val="0"/>
              <w:ind w:left="301" w:hanging="301"/>
              <w:rPr>
                <w:rFonts w:eastAsia="Times New Roman" w:cs="Arial"/>
                <w:b/>
                <w:sz w:val="18"/>
                <w:szCs w:val="18"/>
                <w:lang w:eastAsia="en-GB"/>
              </w:rPr>
            </w:pPr>
            <w:r w:rsidRPr="004728E9">
              <w:rPr>
                <w:rFonts w:eastAsia="Times New Roman" w:cs="Arial"/>
                <w:b/>
                <w:sz w:val="18"/>
                <w:szCs w:val="18"/>
                <w:lang w:eastAsia="en-GB"/>
              </w:rPr>
              <w:t xml:space="preserve">      Head of PPM Centre of Excellence</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Name:                                                              Date:</w:t>
            </w:r>
          </w:p>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Role:</w:t>
            </w:r>
          </w:p>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 xml:space="preserve">Email:                                                              Tel. No. </w:t>
            </w:r>
          </w:p>
        </w:tc>
      </w:tr>
      <w:tr w:rsidR="004728E9" w:rsidRPr="004728E9" w:rsidTr="004728E9">
        <w:trPr>
          <w:trHeight w:val="347"/>
        </w:trPr>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ind w:left="301" w:hanging="301"/>
              <w:rPr>
                <w:rFonts w:eastAsia="Times New Roman" w:cs="Arial"/>
                <w:b/>
                <w:sz w:val="18"/>
                <w:szCs w:val="18"/>
                <w:lang w:eastAsia="en-GB"/>
              </w:rPr>
            </w:pPr>
            <w:r w:rsidRPr="004728E9">
              <w:rPr>
                <w:rFonts w:eastAsia="Times New Roman" w:cs="Arial"/>
                <w:b/>
                <w:sz w:val="18"/>
                <w:szCs w:val="18"/>
                <w:lang w:eastAsia="en-GB"/>
              </w:rPr>
              <w:t>19. Departmental Assurance Co-ordinator (DAC)</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 xml:space="preserve">Name:                                                              </w:t>
            </w:r>
          </w:p>
        </w:tc>
      </w:tr>
      <w:tr w:rsidR="004728E9" w:rsidRPr="004728E9" w:rsidTr="004728E9">
        <w:trPr>
          <w:trHeight w:val="313"/>
        </w:trPr>
        <w:tc>
          <w:tcPr>
            <w:tcW w:w="43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20. RPA Version No. &amp; Date</w:t>
            </w:r>
          </w:p>
        </w:tc>
        <w:tc>
          <w:tcPr>
            <w:tcW w:w="64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8"/>
                <w:szCs w:val="18"/>
                <w:lang w:eastAsia="en-GB"/>
              </w:rPr>
            </w:pPr>
            <w:r w:rsidRPr="004728E9">
              <w:rPr>
                <w:rFonts w:eastAsia="Times New Roman" w:cs="Arial"/>
                <w:b/>
                <w:sz w:val="18"/>
                <w:szCs w:val="18"/>
                <w:lang w:eastAsia="en-GB"/>
              </w:rPr>
              <w:t>Version No.                                                     Date:</w:t>
            </w:r>
          </w:p>
        </w:tc>
      </w:tr>
      <w:tr w:rsidR="004728E9" w:rsidRPr="004728E9" w:rsidTr="004728E9">
        <w:trPr>
          <w:trHeight w:val="800"/>
        </w:trPr>
        <w:tc>
          <w:tcPr>
            <w:tcW w:w="1080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bCs/>
                <w:sz w:val="16"/>
                <w:szCs w:val="16"/>
                <w:u w:val="single"/>
                <w:lang w:eastAsia="en-GB"/>
              </w:rPr>
              <w:t>The General Data Protection Regulation and Data Protection Act 2018</w:t>
            </w:r>
            <w:r w:rsidRPr="004728E9">
              <w:rPr>
                <w:rFonts w:eastAsia="Times New Roman" w:cs="Arial"/>
                <w:b/>
                <w:sz w:val="16"/>
                <w:szCs w:val="16"/>
                <w:lang w:eastAsia="en-GB"/>
              </w:rPr>
              <w:br/>
              <w:t xml:space="preserve">It is intended that the data collected via this form will be used by the Cabinet Office for its own purposes and also to inform other areas of Government business. The data may also be used to make you aware of services, advice and guidance. Issues related to the use of personal data within this form should be addressed to: </w:t>
            </w:r>
            <w:hyperlink r:id="rId30" w:history="1">
              <w:r w:rsidRPr="004728E9">
                <w:rPr>
                  <w:rFonts w:eastAsia="Times New Roman" w:cs="Arial"/>
                  <w:b/>
                  <w:color w:val="0000FF"/>
                  <w:sz w:val="16"/>
                  <w:szCs w:val="16"/>
                  <w:u w:val="single"/>
                  <w:lang w:eastAsia="en-GB"/>
                </w:rPr>
                <w:t>Gateway.Helpdesk@ipa.gov.uk</w:t>
              </w:r>
            </w:hyperlink>
          </w:p>
          <w:p w:rsidR="004728E9" w:rsidRPr="004728E9" w:rsidRDefault="004728E9" w:rsidP="004728E9">
            <w:pPr>
              <w:suppressAutoHyphens/>
              <w:autoSpaceDN w:val="0"/>
              <w:rPr>
                <w:rFonts w:eastAsia="Times New Roman" w:cs="Arial"/>
                <w:b/>
                <w:sz w:val="16"/>
                <w:szCs w:val="16"/>
                <w:lang w:eastAsia="en-GB"/>
              </w:rPr>
            </w:pPr>
          </w:p>
        </w:tc>
      </w:tr>
    </w:tbl>
    <w:p w:rsidR="004728E9" w:rsidRPr="004728E9" w:rsidRDefault="004728E9" w:rsidP="004728E9">
      <w:pPr>
        <w:rPr>
          <w:rFonts w:ascii="Times New Roman" w:eastAsia="Times New Roman" w:hAnsi="Times New Roman" w:cs="Times New Roman"/>
          <w:vanish/>
          <w:szCs w:val="24"/>
          <w:lang w:eastAsia="en-GB"/>
        </w:rPr>
        <w:sectPr w:rsidR="004728E9" w:rsidRPr="004728E9">
          <w:pgSz w:w="11906" w:h="16838"/>
          <w:pgMar w:top="1440" w:right="1800" w:bottom="1440" w:left="1800" w:header="720" w:footer="720" w:gutter="0"/>
          <w:pgBorders w:offsetFrom="page">
            <w:top w:val="double" w:sz="4" w:space="24" w:color="000000"/>
            <w:left w:val="double" w:sz="4" w:space="24" w:color="000000"/>
            <w:bottom w:val="double" w:sz="4" w:space="24" w:color="000000"/>
            <w:right w:val="double" w:sz="4" w:space="24" w:color="000000"/>
          </w:pgBorders>
          <w:cols w:space="720"/>
        </w:sectPr>
      </w:pPr>
    </w:p>
    <w:tbl>
      <w:tblPr>
        <w:tblW w:w="10800" w:type="dxa"/>
        <w:tblInd w:w="-1152" w:type="dxa"/>
        <w:tblCellMar>
          <w:left w:w="10" w:type="dxa"/>
          <w:right w:w="10" w:type="dxa"/>
        </w:tblCellMar>
        <w:tblLook w:val="04A0" w:firstRow="1" w:lastRow="0" w:firstColumn="1" w:lastColumn="0" w:noHBand="0" w:noVBand="1"/>
      </w:tblPr>
      <w:tblGrid>
        <w:gridCol w:w="2111"/>
        <w:gridCol w:w="2690"/>
        <w:gridCol w:w="563"/>
        <w:gridCol w:w="536"/>
        <w:gridCol w:w="537"/>
        <w:gridCol w:w="572"/>
        <w:gridCol w:w="572"/>
        <w:gridCol w:w="3219"/>
      </w:tblGrid>
      <w:tr w:rsidR="004728E9" w:rsidRPr="004728E9" w:rsidTr="004728E9">
        <w:tc>
          <w:tcPr>
            <w:tcW w:w="10800"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ind w:left="360"/>
              <w:jc w:val="center"/>
              <w:rPr>
                <w:rFonts w:eastAsia="Times New Roman" w:cs="Arial"/>
                <w:b/>
                <w:szCs w:val="24"/>
                <w:lang w:eastAsia="en-GB"/>
              </w:rPr>
            </w:pPr>
            <w:r w:rsidRPr="004728E9">
              <w:rPr>
                <w:rFonts w:eastAsia="Times New Roman" w:cs="Arial"/>
                <w:b/>
                <w:szCs w:val="24"/>
                <w:lang w:eastAsia="en-GB"/>
              </w:rPr>
              <w:lastRenderedPageBreak/>
              <w:t>Table A</w:t>
            </w:r>
          </w:p>
          <w:p w:rsidR="004728E9" w:rsidRPr="004728E9" w:rsidRDefault="004728E9" w:rsidP="004728E9">
            <w:pPr>
              <w:suppressAutoHyphens/>
              <w:autoSpaceDN w:val="0"/>
              <w:jc w:val="center"/>
              <w:rPr>
                <w:rFonts w:eastAsia="Times New Roman" w:cs="Arial"/>
                <w:b/>
                <w:sz w:val="32"/>
                <w:szCs w:val="32"/>
                <w:lang w:eastAsia="en-GB"/>
              </w:rPr>
            </w:pPr>
            <w:r w:rsidRPr="004728E9">
              <w:rPr>
                <w:rFonts w:eastAsia="Times New Roman" w:cs="Arial"/>
                <w:b/>
                <w:sz w:val="32"/>
                <w:szCs w:val="32"/>
                <w:lang w:eastAsia="en-GB"/>
              </w:rPr>
              <w:t>Consequential Impact Assessment</w:t>
            </w:r>
          </w:p>
          <w:p w:rsidR="004728E9" w:rsidRPr="004728E9" w:rsidRDefault="004728E9" w:rsidP="004728E9">
            <w:pPr>
              <w:suppressAutoHyphens/>
              <w:autoSpaceDN w:val="0"/>
              <w:jc w:val="center"/>
              <w:rPr>
                <w:rFonts w:ascii="Times New Roman" w:eastAsia="Times New Roman" w:hAnsi="Times New Roman" w:cs="Times New Roman"/>
                <w:szCs w:val="24"/>
                <w:lang w:eastAsia="en-GB"/>
              </w:rPr>
            </w:pPr>
            <w:r w:rsidRPr="004728E9">
              <w:rPr>
                <w:rFonts w:eastAsia="Times New Roman" w:cs="Arial"/>
                <w:sz w:val="18"/>
                <w:szCs w:val="18"/>
                <w:lang w:eastAsia="en-GB"/>
              </w:rPr>
              <w:t>A strategic assessment of the consequential impact should the initiative fail to deliver its objectives to time, cost or quality</w:t>
            </w:r>
          </w:p>
        </w:tc>
      </w:tr>
      <w:tr w:rsidR="004728E9" w:rsidRPr="004728E9" w:rsidTr="004728E9">
        <w:tc>
          <w:tcPr>
            <w:tcW w:w="2111"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 xml:space="preserve">Strategic Impact Area </w:t>
            </w:r>
          </w:p>
        </w:tc>
        <w:tc>
          <w:tcPr>
            <w:tcW w:w="2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Very Low</w:t>
            </w:r>
          </w:p>
        </w:tc>
        <w:tc>
          <w:tcPr>
            <w:tcW w:w="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Low</w:t>
            </w:r>
          </w:p>
        </w:tc>
        <w:tc>
          <w:tcPr>
            <w:tcW w:w="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Med</w:t>
            </w:r>
          </w:p>
        </w:tc>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High</w:t>
            </w:r>
          </w:p>
        </w:tc>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6"/>
                <w:szCs w:val="16"/>
                <w:lang w:eastAsia="en-GB"/>
              </w:rPr>
            </w:pPr>
            <w:r w:rsidRPr="004728E9">
              <w:rPr>
                <w:rFonts w:eastAsia="Times New Roman" w:cs="Arial"/>
                <w:b/>
                <w:sz w:val="16"/>
                <w:szCs w:val="16"/>
                <w:lang w:eastAsia="en-GB"/>
              </w:rPr>
              <w:t>Very High</w:t>
            </w:r>
          </w:p>
        </w:tc>
        <w:tc>
          <w:tcPr>
            <w:tcW w:w="3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p>
        </w:tc>
      </w:tr>
      <w:tr w:rsidR="004728E9" w:rsidRPr="004728E9" w:rsidTr="004728E9">
        <w:tc>
          <w:tcPr>
            <w:tcW w:w="2111"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lang w:eastAsia="en-GB"/>
              </w:rPr>
              <w:t xml:space="preserve">A1. Political </w:t>
            </w:r>
          </w:p>
        </w:tc>
        <w:tc>
          <w:tcPr>
            <w:tcW w:w="2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 xml:space="preserve">None, or unlikely to have any political interest. </w:t>
            </w: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3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As a prerequisite for major policy initiative or manifesto commitment, a high level of on-going Ministerial or political interest. Likelihood of PAC, or equivalent strategic body, interest.</w:t>
            </w:r>
          </w:p>
        </w:tc>
      </w:tr>
      <w:tr w:rsidR="004728E9" w:rsidRPr="004728E9" w:rsidTr="004728E9">
        <w:tc>
          <w:tcPr>
            <w:tcW w:w="2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Explanatory Notes</w:t>
            </w:r>
          </w:p>
          <w:p w:rsidR="004728E9" w:rsidRPr="004728E9" w:rsidRDefault="004728E9" w:rsidP="004728E9">
            <w:pPr>
              <w:suppressAutoHyphens/>
              <w:autoSpaceDN w:val="0"/>
              <w:rPr>
                <w:rFonts w:eastAsia="Times New Roman" w:cs="Arial"/>
                <w:b/>
                <w:sz w:val="16"/>
                <w:szCs w:val="16"/>
                <w:lang w:eastAsia="en-GB"/>
              </w:rPr>
            </w:pPr>
            <w:r w:rsidRPr="004728E9">
              <w:rPr>
                <w:rFonts w:eastAsia="Times New Roman" w:cs="Arial"/>
                <w:b/>
                <w:sz w:val="16"/>
                <w:szCs w:val="16"/>
                <w:lang w:eastAsia="en-GB"/>
              </w:rPr>
              <w:t>(Completion mandatory)</w:t>
            </w:r>
          </w:p>
        </w:tc>
        <w:tc>
          <w:tcPr>
            <w:tcW w:w="8689"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Scored VH due to a high level of on-going Ministerial or political interest. Announcement for funding for organisations was made by the Prime Minister in person at Pilgrim Hospital.</w:t>
            </w:r>
          </w:p>
        </w:tc>
      </w:tr>
      <w:tr w:rsidR="004728E9" w:rsidRPr="004728E9" w:rsidTr="004728E9">
        <w:tc>
          <w:tcPr>
            <w:tcW w:w="2111"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A2. Public</w:t>
            </w:r>
          </w:p>
        </w:tc>
        <w:tc>
          <w:tcPr>
            <w:tcW w:w="2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No public service impact. No information security or environmental implications. No interest from external pressure groups likely.</w:t>
            </w: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3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Significant public or business interest, e.g. related to information security, or to environmental issues. </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High degree of interest from pressure groups or media. Involves contentious change.</w:t>
            </w:r>
          </w:p>
        </w:tc>
      </w:tr>
      <w:tr w:rsidR="004728E9" w:rsidRPr="004728E9" w:rsidTr="004728E9">
        <w:tc>
          <w:tcPr>
            <w:tcW w:w="2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r w:rsidRPr="004728E9">
              <w:rPr>
                <w:rFonts w:eastAsia="Times New Roman" w:cs="Arial"/>
                <w:szCs w:val="24"/>
                <w:lang w:eastAsia="en-GB"/>
              </w:rPr>
              <w:t xml:space="preserve"> </w:t>
            </w:r>
            <w:r w:rsidRPr="004728E9">
              <w:rPr>
                <w:rFonts w:eastAsia="Times New Roman" w:cs="Arial"/>
                <w:b/>
                <w:sz w:val="16"/>
                <w:szCs w:val="16"/>
                <w:lang w:eastAsia="en-GB"/>
              </w:rPr>
              <w:t>(Completion mandatory)</w:t>
            </w:r>
          </w:p>
        </w:tc>
        <w:tc>
          <w:tcPr>
            <w:tcW w:w="8689"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Due to a high level of media involvement from the outset of the project as well as an already motivated population in the surrounding area this scheme will attract a high level of public interest.</w:t>
            </w:r>
          </w:p>
        </w:tc>
      </w:tr>
      <w:tr w:rsidR="004728E9" w:rsidRPr="004728E9" w:rsidTr="004728E9">
        <w:tc>
          <w:tcPr>
            <w:tcW w:w="2111"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A3. Financial</w:t>
            </w:r>
          </w:p>
        </w:tc>
        <w:tc>
          <w:tcPr>
            <w:tcW w:w="2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Little or no exposure of public funds or additional financial burden. No financial impact from environment or social costs. Limited or no savings to be delivered.</w:t>
            </w: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3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Very significant financial exposure of public funds, or additional financial burden. </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Significant financial impact from environmental or social change. Will, or likely to, require HM Treasury financial approval. Very significant savings expected to be delivered.</w:t>
            </w:r>
          </w:p>
        </w:tc>
      </w:tr>
      <w:tr w:rsidR="004728E9" w:rsidRPr="004728E9" w:rsidTr="004728E9">
        <w:tc>
          <w:tcPr>
            <w:tcW w:w="2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Explanatory Notes</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16"/>
                <w:szCs w:val="16"/>
                <w:lang w:eastAsia="en-GB"/>
              </w:rPr>
              <w:t>(Completion mandatory)</w:t>
            </w:r>
          </w:p>
        </w:tc>
        <w:tc>
          <w:tcPr>
            <w:tcW w:w="8689"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High value (36.8M) scheme that will require approval from NHSE and HMT.  Potential to deliver some savings although main driver will be improvement in patient care.</w:t>
            </w:r>
          </w:p>
        </w:tc>
      </w:tr>
      <w:tr w:rsidR="004728E9" w:rsidRPr="004728E9" w:rsidTr="004728E9">
        <w:tc>
          <w:tcPr>
            <w:tcW w:w="2111"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A4. Operational business  and commercial change</w:t>
            </w:r>
          </w:p>
        </w:tc>
        <w:tc>
          <w:tcPr>
            <w:tcW w:w="2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Low priority, limited impact on the organisation’s administration, operations or staff. </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No impact on third party organisations. No changes to regulatory requirements.</w:t>
            </w: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3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Departmental priority, addressing high profile business issue. Essential to fulfil legislative/legal requirements. Significant impact or additional burden on business or staff, on external commercial markets, regulations or trade. The change is novel or contentious. </w:t>
            </w:r>
          </w:p>
        </w:tc>
      </w:tr>
      <w:tr w:rsidR="004728E9" w:rsidRPr="004728E9" w:rsidTr="004728E9">
        <w:tc>
          <w:tcPr>
            <w:tcW w:w="2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Explanatory Notes</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16"/>
                <w:szCs w:val="16"/>
                <w:lang w:eastAsia="en-GB"/>
              </w:rPr>
              <w:t>(Completion mandatory)</w:t>
            </w:r>
          </w:p>
        </w:tc>
        <w:tc>
          <w:tcPr>
            <w:tcW w:w="8689"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The project is critical to delivery of urgent care on the site and thus an extremely high priority.  It will cause a significant impact and burden on staff during the building work and will represent a completely different way of working with integration of 2 separate trusts.</w:t>
            </w:r>
          </w:p>
        </w:tc>
      </w:tr>
      <w:tr w:rsidR="004728E9" w:rsidRPr="004728E9" w:rsidTr="004728E9">
        <w:tc>
          <w:tcPr>
            <w:tcW w:w="2111"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A5. Dependencies</w:t>
            </w:r>
          </w:p>
        </w:tc>
        <w:tc>
          <w:tcPr>
            <w:tcW w:w="2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proofErr w:type="spellStart"/>
            <w:r w:rsidRPr="004728E9">
              <w:rPr>
                <w:rFonts w:eastAsia="Times New Roman" w:cs="Arial"/>
                <w:sz w:val="20"/>
                <w:szCs w:val="20"/>
                <w:lang w:eastAsia="en-GB"/>
              </w:rPr>
              <w:t>Stand alone</w:t>
            </w:r>
            <w:proofErr w:type="spellEnd"/>
            <w:r w:rsidRPr="004728E9">
              <w:rPr>
                <w:rFonts w:eastAsia="Times New Roman" w:cs="Arial"/>
                <w:sz w:val="20"/>
                <w:szCs w:val="20"/>
                <w:lang w:eastAsia="en-GB"/>
              </w:rPr>
              <w:t xml:space="preserve"> - no dependency either way on other initiatives, programmes or projects. </w:t>
            </w: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3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Highly dependent on other legislation, programmes, projects or change initiatives for its successful delivery, and/or vice versa.</w:t>
            </w:r>
          </w:p>
        </w:tc>
      </w:tr>
      <w:tr w:rsidR="004728E9" w:rsidRPr="004728E9" w:rsidTr="004728E9">
        <w:tc>
          <w:tcPr>
            <w:tcW w:w="2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Explanatory Notes </w:t>
            </w:r>
          </w:p>
          <w:p w:rsidR="004728E9" w:rsidRPr="004728E9" w:rsidRDefault="004728E9" w:rsidP="004728E9">
            <w:pPr>
              <w:suppressAutoHyphens/>
              <w:autoSpaceDN w:val="0"/>
              <w:rPr>
                <w:rFonts w:eastAsia="Times New Roman" w:cs="Arial"/>
                <w:b/>
                <w:sz w:val="16"/>
                <w:szCs w:val="16"/>
                <w:lang w:eastAsia="en-GB"/>
              </w:rPr>
            </w:pPr>
            <w:r w:rsidRPr="004728E9">
              <w:rPr>
                <w:rFonts w:eastAsia="Times New Roman" w:cs="Arial"/>
                <w:b/>
                <w:sz w:val="16"/>
                <w:szCs w:val="16"/>
                <w:lang w:eastAsia="en-GB"/>
              </w:rPr>
              <w:t>(Completion mandatory)</w:t>
            </w:r>
          </w:p>
        </w:tc>
        <w:tc>
          <w:tcPr>
            <w:tcW w:w="8689"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NHSE requirement to have UTC’s on all acute A&amp;E sites by December 2019.  However, some organisations have integrated this into the existing A&amp;E and not had a separate department which seems to have worked better.  A&amp;E at PHB does not perform well so this development will be of benefit to patients and fits within the overarching urgent care delivery programme.</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p>
        </w:tc>
      </w:tr>
      <w:tr w:rsidR="004728E9" w:rsidRPr="004728E9" w:rsidTr="004728E9">
        <w:tc>
          <w:tcPr>
            <w:tcW w:w="10800" w:type="dxa"/>
            <w:gridSpan w:val="8"/>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hideMark/>
          </w:tcPr>
          <w:p w:rsidR="004728E9" w:rsidRPr="004728E9" w:rsidRDefault="004728E9" w:rsidP="004728E9">
            <w:pPr>
              <w:tabs>
                <w:tab w:val="left" w:pos="1845"/>
                <w:tab w:val="center" w:pos="5292"/>
              </w:tabs>
              <w:suppressAutoHyphens/>
              <w:autoSpaceDN w:val="0"/>
              <w:rPr>
                <w:rFonts w:eastAsia="Times New Roman" w:cs="Arial"/>
                <w:b/>
                <w:sz w:val="28"/>
                <w:szCs w:val="28"/>
                <w:lang w:eastAsia="en-GB"/>
              </w:rPr>
            </w:pPr>
            <w:r w:rsidRPr="004728E9">
              <w:rPr>
                <w:rFonts w:eastAsia="Times New Roman" w:cs="Arial"/>
                <w:b/>
                <w:sz w:val="28"/>
                <w:szCs w:val="28"/>
                <w:lang w:eastAsia="en-GB"/>
              </w:rPr>
              <w:lastRenderedPageBreak/>
              <w:tab/>
            </w:r>
            <w:r w:rsidRPr="004728E9">
              <w:rPr>
                <w:rFonts w:eastAsia="Times New Roman" w:cs="Arial"/>
                <w:b/>
                <w:sz w:val="28"/>
                <w:szCs w:val="28"/>
                <w:lang w:eastAsia="en-GB"/>
              </w:rPr>
              <w:tab/>
              <w:t>Overall Consequential Impact Assessment</w:t>
            </w:r>
          </w:p>
        </w:tc>
      </w:tr>
      <w:tr w:rsidR="004728E9" w:rsidRPr="004728E9" w:rsidTr="004728E9">
        <w:tc>
          <w:tcPr>
            <w:tcW w:w="4801" w:type="dxa"/>
            <w:gridSpan w:val="2"/>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shd w:val="clear" w:color="auto" w:fill="FF9999"/>
                <w:lang w:eastAsia="en-GB"/>
              </w:rPr>
              <w:t>A6.</w:t>
            </w:r>
            <w:r w:rsidRPr="004728E9">
              <w:rPr>
                <w:rFonts w:eastAsia="Times New Roman" w:cs="Arial"/>
                <w:sz w:val="20"/>
                <w:szCs w:val="20"/>
                <w:shd w:val="clear" w:color="auto" w:fill="FF9999"/>
                <w:lang w:eastAsia="en-GB"/>
              </w:rPr>
              <w:t xml:space="preserve"> Little or no impact on the public, political stakeholders, public finances, operational business or dependent programmes/projects </w:t>
            </w:r>
          </w:p>
        </w:tc>
        <w:tc>
          <w:tcPr>
            <w:tcW w:w="563" w:type="dxa"/>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sz w:val="20"/>
                <w:szCs w:val="20"/>
                <w:shd w:val="clear" w:color="auto" w:fill="FF9999"/>
                <w:lang w:eastAsia="en-GB"/>
              </w:rPr>
            </w:pPr>
            <w:r w:rsidRPr="004728E9">
              <w:rPr>
                <w:rFonts w:eastAsia="Times New Roman" w:cs="Arial"/>
                <w:sz w:val="20"/>
                <w:szCs w:val="20"/>
                <w:shd w:val="clear" w:color="auto" w:fill="FF9999"/>
                <w:lang w:eastAsia="en-GB"/>
              </w:rPr>
              <w:t>VL</w:t>
            </w:r>
          </w:p>
          <w:p w:rsidR="004728E9" w:rsidRPr="004728E9" w:rsidRDefault="004728E9" w:rsidP="004728E9">
            <w:pPr>
              <w:suppressAutoHyphens/>
              <w:autoSpaceDN w:val="0"/>
              <w:jc w:val="center"/>
              <w:rPr>
                <w:rFonts w:eastAsia="Times New Roman" w:cs="Arial"/>
                <w:sz w:val="20"/>
                <w:szCs w:val="20"/>
                <w:shd w:val="clear" w:color="auto" w:fill="FF9999"/>
                <w:lang w:eastAsia="en-GB"/>
              </w:rPr>
            </w:pPr>
          </w:p>
        </w:tc>
        <w:tc>
          <w:tcPr>
            <w:tcW w:w="536" w:type="dxa"/>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sz w:val="20"/>
                <w:szCs w:val="20"/>
                <w:shd w:val="clear" w:color="auto" w:fill="FF9999"/>
                <w:lang w:eastAsia="en-GB"/>
              </w:rPr>
            </w:pPr>
            <w:r w:rsidRPr="004728E9">
              <w:rPr>
                <w:rFonts w:eastAsia="Times New Roman" w:cs="Arial"/>
                <w:sz w:val="20"/>
                <w:szCs w:val="20"/>
                <w:shd w:val="clear" w:color="auto" w:fill="FF9999"/>
                <w:lang w:eastAsia="en-GB"/>
              </w:rPr>
              <w:t>L</w:t>
            </w:r>
          </w:p>
          <w:p w:rsidR="004728E9" w:rsidRPr="004728E9" w:rsidRDefault="004728E9" w:rsidP="004728E9">
            <w:pPr>
              <w:suppressAutoHyphens/>
              <w:autoSpaceDN w:val="0"/>
              <w:jc w:val="center"/>
              <w:rPr>
                <w:rFonts w:eastAsia="Times New Roman" w:cs="Arial"/>
                <w:sz w:val="20"/>
                <w:szCs w:val="20"/>
                <w:shd w:val="clear" w:color="auto" w:fill="FF9999"/>
                <w:lang w:eastAsia="en-GB"/>
              </w:rPr>
            </w:pPr>
          </w:p>
        </w:tc>
        <w:tc>
          <w:tcPr>
            <w:tcW w:w="537" w:type="dxa"/>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sz w:val="20"/>
                <w:szCs w:val="20"/>
                <w:shd w:val="clear" w:color="auto" w:fill="FF9999"/>
                <w:lang w:eastAsia="en-GB"/>
              </w:rPr>
            </w:pPr>
            <w:r w:rsidRPr="004728E9">
              <w:rPr>
                <w:rFonts w:eastAsia="Times New Roman" w:cs="Arial"/>
                <w:sz w:val="20"/>
                <w:szCs w:val="20"/>
                <w:shd w:val="clear" w:color="auto" w:fill="FF9999"/>
                <w:lang w:eastAsia="en-GB"/>
              </w:rPr>
              <w:t>M</w:t>
            </w:r>
          </w:p>
          <w:p w:rsidR="004728E9" w:rsidRPr="004728E9" w:rsidRDefault="004728E9" w:rsidP="004728E9">
            <w:pPr>
              <w:suppressAutoHyphens/>
              <w:autoSpaceDN w:val="0"/>
              <w:jc w:val="center"/>
              <w:rPr>
                <w:rFonts w:eastAsia="Times New Roman" w:cs="Arial"/>
                <w:sz w:val="20"/>
                <w:szCs w:val="20"/>
                <w:shd w:val="clear" w:color="auto" w:fill="FF9999"/>
                <w:lang w:eastAsia="en-GB"/>
              </w:rPr>
            </w:pPr>
          </w:p>
        </w:tc>
        <w:tc>
          <w:tcPr>
            <w:tcW w:w="572" w:type="dxa"/>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sz w:val="20"/>
                <w:szCs w:val="20"/>
                <w:shd w:val="clear" w:color="auto" w:fill="FF9999"/>
                <w:lang w:eastAsia="en-GB"/>
              </w:rPr>
            </w:pPr>
            <w:r w:rsidRPr="004728E9">
              <w:rPr>
                <w:rFonts w:eastAsia="Times New Roman" w:cs="Arial"/>
                <w:sz w:val="20"/>
                <w:szCs w:val="20"/>
                <w:shd w:val="clear" w:color="auto" w:fill="FF9999"/>
                <w:lang w:eastAsia="en-GB"/>
              </w:rPr>
              <w:t>H</w:t>
            </w:r>
          </w:p>
          <w:p w:rsidR="004728E9" w:rsidRPr="004728E9" w:rsidRDefault="004728E9" w:rsidP="004728E9">
            <w:pPr>
              <w:suppressAutoHyphens/>
              <w:autoSpaceDN w:val="0"/>
              <w:jc w:val="center"/>
              <w:rPr>
                <w:rFonts w:eastAsia="Times New Roman" w:cs="Arial"/>
                <w:sz w:val="20"/>
                <w:szCs w:val="20"/>
                <w:shd w:val="clear" w:color="auto" w:fill="FF9999"/>
                <w:lang w:eastAsia="en-GB"/>
              </w:rPr>
            </w:pPr>
            <w:r w:rsidRPr="004728E9">
              <w:rPr>
                <w:rFonts w:eastAsia="Times New Roman" w:cs="Arial"/>
                <w:sz w:val="20"/>
                <w:szCs w:val="20"/>
                <w:shd w:val="clear" w:color="auto" w:fill="FF9999"/>
                <w:lang w:eastAsia="en-GB"/>
              </w:rPr>
              <w:t>X</w:t>
            </w:r>
          </w:p>
        </w:tc>
        <w:tc>
          <w:tcPr>
            <w:tcW w:w="572" w:type="dxa"/>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sz w:val="20"/>
                <w:szCs w:val="20"/>
                <w:shd w:val="clear" w:color="auto" w:fill="FF9999"/>
                <w:lang w:eastAsia="en-GB"/>
              </w:rPr>
            </w:pPr>
            <w:r w:rsidRPr="004728E9">
              <w:rPr>
                <w:rFonts w:eastAsia="Times New Roman" w:cs="Arial"/>
                <w:sz w:val="20"/>
                <w:szCs w:val="20"/>
                <w:shd w:val="clear" w:color="auto" w:fill="FF9999"/>
                <w:lang w:eastAsia="en-GB"/>
              </w:rPr>
              <w:t>VH</w:t>
            </w:r>
          </w:p>
          <w:p w:rsidR="004728E9" w:rsidRPr="004728E9" w:rsidRDefault="004728E9" w:rsidP="004728E9">
            <w:pPr>
              <w:suppressAutoHyphens/>
              <w:autoSpaceDN w:val="0"/>
              <w:jc w:val="center"/>
              <w:rPr>
                <w:rFonts w:eastAsia="Times New Roman" w:cs="Arial"/>
                <w:sz w:val="20"/>
                <w:szCs w:val="20"/>
                <w:shd w:val="clear" w:color="auto" w:fill="FF9999"/>
                <w:lang w:eastAsia="en-GB"/>
              </w:rPr>
            </w:pPr>
          </w:p>
        </w:tc>
        <w:tc>
          <w:tcPr>
            <w:tcW w:w="3219" w:type="dxa"/>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shd w:val="clear" w:color="auto" w:fill="FF9999"/>
                <w:lang w:eastAsia="en-GB"/>
              </w:rPr>
            </w:pPr>
            <w:r w:rsidRPr="004728E9">
              <w:rPr>
                <w:rFonts w:eastAsia="Times New Roman" w:cs="Arial"/>
                <w:sz w:val="20"/>
                <w:szCs w:val="20"/>
                <w:shd w:val="clear" w:color="auto" w:fill="FF9999"/>
                <w:lang w:eastAsia="en-GB"/>
              </w:rPr>
              <w:t>Very high impact on the public, political stakeholders, public finances, operational business or dependent programmes/projects</w:t>
            </w:r>
          </w:p>
        </w:tc>
      </w:tr>
      <w:tr w:rsidR="004728E9" w:rsidRPr="004728E9" w:rsidTr="004728E9">
        <w:tc>
          <w:tcPr>
            <w:tcW w:w="10800" w:type="dxa"/>
            <w:gridSpan w:val="8"/>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u w:val="single"/>
                <w:shd w:val="clear" w:color="auto" w:fill="FF9999"/>
                <w:lang w:eastAsia="en-GB"/>
              </w:rPr>
              <w:t>Explanatory Notes</w:t>
            </w:r>
            <w:r w:rsidRPr="004728E9">
              <w:rPr>
                <w:rFonts w:eastAsia="Times New Roman" w:cs="Arial"/>
                <w:b/>
                <w:sz w:val="20"/>
                <w:szCs w:val="20"/>
                <w:shd w:val="clear" w:color="auto" w:fill="FF9999"/>
                <w:lang w:eastAsia="en-GB"/>
              </w:rPr>
              <w:t xml:space="preserve">  </w:t>
            </w:r>
            <w:r w:rsidRPr="004728E9">
              <w:rPr>
                <w:rFonts w:eastAsia="Times New Roman" w:cs="Arial"/>
                <w:b/>
                <w:sz w:val="16"/>
                <w:szCs w:val="16"/>
                <w:shd w:val="clear" w:color="auto" w:fill="FF9999"/>
                <w:lang w:eastAsia="en-GB"/>
              </w:rPr>
              <w:t>(Completion Mandatory)</w:t>
            </w:r>
          </w:p>
          <w:p w:rsidR="004728E9" w:rsidRPr="004728E9" w:rsidRDefault="004728E9" w:rsidP="004728E9">
            <w:pPr>
              <w:suppressAutoHyphens/>
              <w:autoSpaceDN w:val="0"/>
              <w:rPr>
                <w:rFonts w:eastAsia="Times New Roman" w:cs="Arial"/>
                <w:b/>
                <w:sz w:val="20"/>
                <w:szCs w:val="20"/>
                <w:shd w:val="clear" w:color="auto" w:fill="FF9999"/>
                <w:lang w:eastAsia="en-GB"/>
              </w:rPr>
            </w:pPr>
            <w:r w:rsidRPr="004728E9">
              <w:rPr>
                <w:rFonts w:eastAsia="Times New Roman" w:cs="Arial"/>
                <w:b/>
                <w:sz w:val="20"/>
                <w:szCs w:val="20"/>
                <w:shd w:val="clear" w:color="auto" w:fill="FF9999"/>
                <w:lang w:eastAsia="en-GB"/>
              </w:rPr>
              <w:t xml:space="preserve">The risk of not completing this project will mean that urgent care standards are not met and patient care is of poor quality in terms of infrastructure and capacity.  Politically this is a very high profile and failure would almost certainly attract political and public attention. </w:t>
            </w:r>
          </w:p>
        </w:tc>
      </w:tr>
    </w:tbl>
    <w:p w:rsidR="004728E9" w:rsidRPr="004728E9" w:rsidRDefault="004728E9" w:rsidP="004728E9">
      <w:pPr>
        <w:suppressAutoHyphens/>
        <w:autoSpaceDN w:val="0"/>
        <w:rPr>
          <w:rFonts w:ascii="Times New Roman" w:eastAsia="Times New Roman" w:hAnsi="Times New Roman" w:cs="Times New Roman"/>
          <w:szCs w:val="24"/>
          <w:lang w:eastAsia="en-GB"/>
        </w:rPr>
      </w:pPr>
    </w:p>
    <w:tbl>
      <w:tblPr>
        <w:tblW w:w="10800" w:type="dxa"/>
        <w:tblInd w:w="-1152" w:type="dxa"/>
        <w:tblCellMar>
          <w:left w:w="10" w:type="dxa"/>
          <w:right w:w="10" w:type="dxa"/>
        </w:tblCellMar>
        <w:tblLook w:val="04A0" w:firstRow="1" w:lastRow="0" w:firstColumn="1" w:lastColumn="0" w:noHBand="0" w:noVBand="1"/>
      </w:tblPr>
      <w:tblGrid>
        <w:gridCol w:w="2329"/>
        <w:gridCol w:w="2505"/>
        <w:gridCol w:w="563"/>
        <w:gridCol w:w="540"/>
        <w:gridCol w:w="537"/>
        <w:gridCol w:w="572"/>
        <w:gridCol w:w="756"/>
        <w:gridCol w:w="2998"/>
      </w:tblGrid>
      <w:tr w:rsidR="004728E9" w:rsidRPr="004728E9" w:rsidTr="004728E9">
        <w:tc>
          <w:tcPr>
            <w:tcW w:w="10800"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ind w:left="360"/>
              <w:jc w:val="center"/>
              <w:rPr>
                <w:rFonts w:eastAsia="Times New Roman" w:cs="Arial"/>
                <w:b/>
                <w:szCs w:val="24"/>
                <w:lang w:eastAsia="en-GB"/>
              </w:rPr>
            </w:pPr>
            <w:r w:rsidRPr="004728E9">
              <w:rPr>
                <w:rFonts w:eastAsia="Times New Roman" w:cs="Arial"/>
                <w:b/>
                <w:szCs w:val="24"/>
                <w:lang w:eastAsia="en-GB"/>
              </w:rPr>
              <w:t>Table B</w:t>
            </w:r>
          </w:p>
          <w:p w:rsidR="004728E9" w:rsidRPr="004728E9" w:rsidRDefault="004728E9" w:rsidP="004728E9">
            <w:pPr>
              <w:suppressAutoHyphens/>
              <w:autoSpaceDN w:val="0"/>
              <w:ind w:left="360"/>
              <w:jc w:val="center"/>
              <w:rPr>
                <w:rFonts w:eastAsia="Times New Roman" w:cs="Arial"/>
                <w:b/>
                <w:sz w:val="32"/>
                <w:szCs w:val="32"/>
                <w:lang w:eastAsia="en-GB"/>
              </w:rPr>
            </w:pPr>
            <w:r w:rsidRPr="004728E9">
              <w:rPr>
                <w:rFonts w:eastAsia="Times New Roman" w:cs="Arial"/>
                <w:b/>
                <w:sz w:val="32"/>
                <w:szCs w:val="32"/>
                <w:lang w:eastAsia="en-GB"/>
              </w:rPr>
              <w:t xml:space="preserve">Programme/Project Complexity Assessment </w:t>
            </w:r>
          </w:p>
          <w:p w:rsidR="004728E9" w:rsidRPr="004728E9" w:rsidRDefault="004728E9" w:rsidP="004728E9">
            <w:pPr>
              <w:suppressAutoHyphens/>
              <w:autoSpaceDN w:val="0"/>
              <w:jc w:val="center"/>
              <w:rPr>
                <w:rFonts w:ascii="Times New Roman" w:eastAsia="Times New Roman" w:hAnsi="Times New Roman" w:cs="Times New Roman"/>
                <w:szCs w:val="24"/>
                <w:lang w:eastAsia="en-GB"/>
              </w:rPr>
            </w:pPr>
            <w:r w:rsidRPr="004728E9">
              <w:rPr>
                <w:rFonts w:eastAsia="Times New Roman" w:cs="Arial"/>
                <w:sz w:val="16"/>
                <w:szCs w:val="16"/>
                <w:lang w:eastAsia="en-GB"/>
              </w:rPr>
              <w:t>An assessment of the complexity factors that may affect the achievement of the programme/project objectives</w:t>
            </w:r>
          </w:p>
        </w:tc>
      </w:tr>
      <w:tr w:rsidR="004728E9" w:rsidRPr="004728E9" w:rsidTr="004728E9">
        <w:tc>
          <w:tcPr>
            <w:tcW w:w="2329"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Cs w:val="24"/>
                <w:lang w:eastAsia="en-GB"/>
              </w:rPr>
            </w:pPr>
            <w:r w:rsidRPr="004728E9">
              <w:rPr>
                <w:rFonts w:eastAsia="Times New Roman" w:cs="Arial"/>
                <w:b/>
                <w:szCs w:val="24"/>
                <w:lang w:eastAsia="en-GB"/>
              </w:rPr>
              <w:t>B1Strategic Profile</w:t>
            </w:r>
          </w:p>
        </w:tc>
        <w:tc>
          <w:tcPr>
            <w:tcW w:w="2505" w:type="dxa"/>
            <w:tcBorders>
              <w:top w:val="single" w:sz="4" w:space="0" w:color="000000"/>
              <w:left w:val="single" w:sz="4" w:space="0" w:color="000000"/>
              <w:bottom w:val="single" w:sz="4" w:space="0" w:color="000000"/>
              <w:right w:val="single" w:sz="4" w:space="0" w:color="000000"/>
            </w:tcBorders>
            <w:shd w:val="clear" w:color="auto" w:fill="C0C0C0"/>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Very Low</w:t>
            </w: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Low</w:t>
            </w:r>
          </w:p>
        </w:tc>
        <w:tc>
          <w:tcPr>
            <w:tcW w:w="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Med</w:t>
            </w:r>
          </w:p>
        </w:tc>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High</w:t>
            </w:r>
          </w:p>
        </w:tc>
        <w:tc>
          <w:tcPr>
            <w:tcW w:w="7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6"/>
                <w:szCs w:val="16"/>
                <w:lang w:eastAsia="en-GB"/>
              </w:rPr>
            </w:pPr>
            <w:r w:rsidRPr="004728E9">
              <w:rPr>
                <w:rFonts w:eastAsia="Times New Roman" w:cs="Arial"/>
                <w:b/>
                <w:sz w:val="16"/>
                <w:szCs w:val="16"/>
                <w:lang w:eastAsia="en-GB"/>
              </w:rPr>
              <w:t>Very High</w:t>
            </w:r>
          </w:p>
        </w:tc>
        <w:tc>
          <w:tcPr>
            <w:tcW w:w="2998" w:type="dxa"/>
            <w:tcBorders>
              <w:top w:val="single" w:sz="4" w:space="0" w:color="000000"/>
              <w:left w:val="single" w:sz="4" w:space="0" w:color="000000"/>
              <w:bottom w:val="single" w:sz="4" w:space="0" w:color="000000"/>
              <w:right w:val="single" w:sz="4" w:space="0" w:color="000000"/>
            </w:tcBorders>
            <w:shd w:val="clear" w:color="auto" w:fill="C0C0C0"/>
            <w:tcMar>
              <w:top w:w="0" w:type="dxa"/>
              <w:left w:w="108" w:type="dxa"/>
              <w:bottom w:w="0" w:type="dxa"/>
              <w:right w:w="108" w:type="dxa"/>
            </w:tcMar>
          </w:tcPr>
          <w:p w:rsidR="004728E9" w:rsidRPr="004728E9" w:rsidRDefault="004728E9" w:rsidP="004728E9">
            <w:pPr>
              <w:suppressAutoHyphens/>
              <w:autoSpaceDN w:val="0"/>
              <w:rPr>
                <w:rFonts w:eastAsia="Times New Roman" w:cs="Arial"/>
                <w:b/>
                <w:sz w:val="20"/>
                <w:szCs w:val="20"/>
                <w:lang w:eastAsia="en-GB"/>
              </w:rPr>
            </w:pPr>
          </w:p>
        </w:tc>
      </w:tr>
      <w:tr w:rsidR="004728E9" w:rsidRPr="004728E9" w:rsidTr="004728E9">
        <w:tc>
          <w:tcPr>
            <w:tcW w:w="2329"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B1.1. Political </w:t>
            </w:r>
          </w:p>
        </w:tc>
        <w:tc>
          <w:tcPr>
            <w:tcW w:w="25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No political involvement or does not require any special handling or additional engagement. </w:t>
            </w: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7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9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Multiple political interests requiring handling. Political agenda changing, unclear direction or increasing opposition. External political interests involved.</w:t>
            </w:r>
          </w:p>
        </w:tc>
      </w:tr>
      <w:tr w:rsidR="004728E9" w:rsidRPr="004728E9" w:rsidTr="004728E9">
        <w:tc>
          <w:tcPr>
            <w:tcW w:w="2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p>
        </w:tc>
        <w:tc>
          <w:tcPr>
            <w:tcW w:w="8471"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The project reports into the leading organisations trust board and some subcommittee’s but also into the system urgent care board and executive teams.  It is also part of political drives to increase spending on the NHS and reports into NHSE/I.</w:t>
            </w:r>
          </w:p>
        </w:tc>
      </w:tr>
      <w:tr w:rsidR="004728E9" w:rsidRPr="004728E9" w:rsidTr="004728E9">
        <w:tc>
          <w:tcPr>
            <w:tcW w:w="2329"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B1.2. Public</w:t>
            </w:r>
          </w:p>
        </w:tc>
        <w:tc>
          <w:tcPr>
            <w:tcW w:w="25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No or very low public profile. No change in public interest or service provision. No interest from external pressure groups.</w:t>
            </w: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7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9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Very high public profile, significant interest from public and/or from active pressure groups/media. Complex external communications.</w:t>
            </w:r>
          </w:p>
        </w:tc>
      </w:tr>
      <w:tr w:rsidR="004728E9" w:rsidRPr="004728E9" w:rsidTr="004728E9">
        <w:tc>
          <w:tcPr>
            <w:tcW w:w="2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p>
        </w:tc>
        <w:tc>
          <w:tcPr>
            <w:tcW w:w="8471"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There is public and communications involvement on the project groups and significant interest from local media.  The initial announcement of funding for NHS organisations was made at PHB and so attracted national media attention.  The project will have to deal with numerous enquiries throughout its life.</w:t>
            </w:r>
          </w:p>
        </w:tc>
      </w:tr>
      <w:tr w:rsidR="004728E9" w:rsidRPr="004728E9" w:rsidTr="004728E9">
        <w:tc>
          <w:tcPr>
            <w:tcW w:w="2329"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B1.3. Business performance</w:t>
            </w:r>
          </w:p>
        </w:tc>
        <w:tc>
          <w:tcPr>
            <w:tcW w:w="25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No significant change to the organisation’s business. No change to the operation of external bodies.  </w:t>
            </w: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29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Very high business performance profile. Changing demands or expectations of performance or staff or behaviours. Significant changes to consumer or business operations.</w:t>
            </w:r>
          </w:p>
        </w:tc>
      </w:tr>
      <w:tr w:rsidR="004728E9" w:rsidRPr="004728E9" w:rsidTr="004728E9">
        <w:tc>
          <w:tcPr>
            <w:tcW w:w="2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p>
        </w:tc>
        <w:tc>
          <w:tcPr>
            <w:tcW w:w="8471"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Complex contractual changes to staff working in the delivery of urgent care.  New patient pathways significantly changing the way A&amp;E works.  Careful consideration of how these changes will be implemented without any change in expectation from patients.</w:t>
            </w:r>
          </w:p>
        </w:tc>
      </w:tr>
      <w:tr w:rsidR="004728E9" w:rsidRPr="004728E9" w:rsidTr="004728E9">
        <w:tc>
          <w:tcPr>
            <w:tcW w:w="2329"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B1.4. Organisational objectives</w:t>
            </w:r>
          </w:p>
          <w:p w:rsidR="004728E9" w:rsidRPr="004728E9" w:rsidRDefault="004728E9" w:rsidP="004728E9">
            <w:pPr>
              <w:suppressAutoHyphens/>
              <w:autoSpaceDN w:val="0"/>
              <w:rPr>
                <w:rFonts w:eastAsia="Times New Roman" w:cs="Arial"/>
                <w:sz w:val="20"/>
                <w:szCs w:val="20"/>
                <w:lang w:eastAsia="en-GB"/>
              </w:rPr>
            </w:pPr>
          </w:p>
        </w:tc>
        <w:tc>
          <w:tcPr>
            <w:tcW w:w="25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No links to strategic targets or published performance indicators. Strategic status (portfolio position), mandate and objectives clear, stable and unlikely to change. </w:t>
            </w: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7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9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Critical link to delivery of key strategic objectives and/or published targets. Strategic status, mandate or objectives likely to change. </w:t>
            </w:r>
          </w:p>
        </w:tc>
      </w:tr>
      <w:tr w:rsidR="004728E9" w:rsidRPr="004728E9" w:rsidTr="004728E9">
        <w:tc>
          <w:tcPr>
            <w:tcW w:w="2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p>
        </w:tc>
        <w:tc>
          <w:tcPr>
            <w:tcW w:w="8471"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Directly linked to the organisations performance against constitutional standards.  Objectives and mandate are, however, unlikely to change.</w:t>
            </w:r>
          </w:p>
          <w:p w:rsidR="004728E9" w:rsidRPr="004728E9" w:rsidRDefault="004728E9" w:rsidP="004728E9">
            <w:pPr>
              <w:suppressAutoHyphens/>
              <w:autoSpaceDN w:val="0"/>
              <w:rPr>
                <w:rFonts w:ascii="Times New Roman" w:eastAsia="Times New Roman" w:hAnsi="Times New Roman" w:cs="Times New Roman"/>
                <w:szCs w:val="24"/>
                <w:lang w:eastAsia="en-GB"/>
              </w:rPr>
            </w:pPr>
          </w:p>
          <w:p w:rsidR="004728E9" w:rsidRPr="004728E9" w:rsidRDefault="004728E9" w:rsidP="004728E9">
            <w:pPr>
              <w:suppressAutoHyphens/>
              <w:autoSpaceDN w:val="0"/>
              <w:rPr>
                <w:rFonts w:ascii="Times New Roman" w:eastAsia="Times New Roman" w:hAnsi="Times New Roman" w:cs="Times New Roman"/>
                <w:szCs w:val="24"/>
                <w:lang w:eastAsia="en-GB"/>
              </w:rPr>
            </w:pPr>
          </w:p>
        </w:tc>
      </w:tr>
      <w:tr w:rsidR="004728E9" w:rsidRPr="004728E9" w:rsidTr="004728E9">
        <w:tc>
          <w:tcPr>
            <w:tcW w:w="2329"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lastRenderedPageBreak/>
              <w:t xml:space="preserve">Strategic Profile  summary assessment </w:t>
            </w:r>
          </w:p>
        </w:tc>
        <w:tc>
          <w:tcPr>
            <w:tcW w:w="2505"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lang w:eastAsia="en-GB"/>
              </w:rPr>
              <w:t>Strategic profile low, changes unlikely to threaten objectives</w:t>
            </w:r>
          </w:p>
        </w:tc>
        <w:tc>
          <w:tcPr>
            <w:tcW w:w="563"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sz w:val="20"/>
                <w:szCs w:val="20"/>
                <w:lang w:eastAsia="en-GB"/>
              </w:rPr>
            </w:pPr>
            <w:r w:rsidRPr="004728E9">
              <w:rPr>
                <w:rFonts w:eastAsia="Times New Roman" w:cs="Arial"/>
                <w:sz w:val="20"/>
                <w:szCs w:val="20"/>
                <w:lang w:eastAsia="en-GB"/>
              </w:rPr>
              <w:t>VL</w:t>
            </w:r>
          </w:p>
          <w:p w:rsidR="004728E9" w:rsidRPr="004728E9" w:rsidRDefault="004728E9" w:rsidP="004728E9">
            <w:pPr>
              <w:suppressAutoHyphens/>
              <w:autoSpaceDN w:val="0"/>
              <w:jc w:val="center"/>
              <w:rPr>
                <w:rFonts w:eastAsia="Times New Roman" w:cs="Arial"/>
                <w:sz w:val="20"/>
                <w:szCs w:val="20"/>
                <w:lang w:eastAsia="en-GB"/>
              </w:rPr>
            </w:pPr>
          </w:p>
        </w:tc>
        <w:tc>
          <w:tcPr>
            <w:tcW w:w="54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sz w:val="20"/>
                <w:szCs w:val="20"/>
                <w:lang w:eastAsia="en-GB"/>
              </w:rPr>
            </w:pPr>
            <w:r w:rsidRPr="004728E9">
              <w:rPr>
                <w:rFonts w:eastAsia="Times New Roman" w:cs="Arial"/>
                <w:sz w:val="20"/>
                <w:szCs w:val="20"/>
                <w:lang w:eastAsia="en-GB"/>
              </w:rPr>
              <w:t>L</w:t>
            </w:r>
          </w:p>
          <w:p w:rsidR="004728E9" w:rsidRPr="004728E9" w:rsidRDefault="004728E9" w:rsidP="004728E9">
            <w:pPr>
              <w:suppressAutoHyphens/>
              <w:autoSpaceDN w:val="0"/>
              <w:jc w:val="center"/>
              <w:rPr>
                <w:rFonts w:eastAsia="Times New Roman" w:cs="Arial"/>
                <w:sz w:val="20"/>
                <w:szCs w:val="20"/>
                <w:lang w:eastAsia="en-GB"/>
              </w:rPr>
            </w:pPr>
          </w:p>
        </w:tc>
        <w:tc>
          <w:tcPr>
            <w:tcW w:w="537"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sz w:val="20"/>
                <w:szCs w:val="20"/>
                <w:lang w:eastAsia="en-GB"/>
              </w:rPr>
            </w:pPr>
            <w:r w:rsidRPr="004728E9">
              <w:rPr>
                <w:rFonts w:eastAsia="Times New Roman" w:cs="Arial"/>
                <w:sz w:val="20"/>
                <w:szCs w:val="20"/>
                <w:lang w:eastAsia="en-GB"/>
              </w:rPr>
              <w:t>M</w:t>
            </w:r>
          </w:p>
          <w:p w:rsidR="004728E9" w:rsidRPr="004728E9" w:rsidRDefault="004728E9" w:rsidP="004728E9">
            <w:pPr>
              <w:suppressAutoHyphens/>
              <w:autoSpaceDN w:val="0"/>
              <w:jc w:val="center"/>
              <w:rPr>
                <w:rFonts w:eastAsia="Times New Roman" w:cs="Arial"/>
                <w:sz w:val="20"/>
                <w:szCs w:val="20"/>
                <w:lang w:eastAsia="en-GB"/>
              </w:rPr>
            </w:pPr>
          </w:p>
        </w:tc>
        <w:tc>
          <w:tcPr>
            <w:tcW w:w="572"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sz w:val="20"/>
                <w:szCs w:val="20"/>
                <w:lang w:eastAsia="en-GB"/>
              </w:rPr>
            </w:pPr>
            <w:r w:rsidRPr="004728E9">
              <w:rPr>
                <w:rFonts w:eastAsia="Times New Roman" w:cs="Arial"/>
                <w:sz w:val="20"/>
                <w:szCs w:val="20"/>
                <w:lang w:eastAsia="en-GB"/>
              </w:rPr>
              <w:t>H</w:t>
            </w:r>
          </w:p>
          <w:p w:rsidR="004728E9" w:rsidRPr="004728E9" w:rsidRDefault="004728E9" w:rsidP="004728E9">
            <w:pPr>
              <w:suppressAutoHyphens/>
              <w:autoSpaceDN w:val="0"/>
              <w:jc w:val="center"/>
              <w:rPr>
                <w:rFonts w:eastAsia="Times New Roman" w:cs="Arial"/>
                <w:sz w:val="20"/>
                <w:szCs w:val="20"/>
                <w:lang w:eastAsia="en-GB"/>
              </w:rPr>
            </w:pPr>
            <w:r w:rsidRPr="004728E9">
              <w:rPr>
                <w:rFonts w:eastAsia="Times New Roman" w:cs="Arial"/>
                <w:sz w:val="20"/>
                <w:szCs w:val="20"/>
                <w:lang w:eastAsia="en-GB"/>
              </w:rPr>
              <w:t>X</w:t>
            </w:r>
          </w:p>
        </w:tc>
        <w:tc>
          <w:tcPr>
            <w:tcW w:w="756"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sz w:val="20"/>
                <w:szCs w:val="20"/>
                <w:lang w:eastAsia="en-GB"/>
              </w:rPr>
            </w:pPr>
            <w:r w:rsidRPr="004728E9">
              <w:rPr>
                <w:rFonts w:eastAsia="Times New Roman" w:cs="Arial"/>
                <w:sz w:val="20"/>
                <w:szCs w:val="20"/>
                <w:lang w:eastAsia="en-GB"/>
              </w:rPr>
              <w:t>VH</w:t>
            </w:r>
          </w:p>
          <w:p w:rsidR="004728E9" w:rsidRPr="004728E9" w:rsidRDefault="004728E9" w:rsidP="004728E9">
            <w:pPr>
              <w:suppressAutoHyphens/>
              <w:autoSpaceDN w:val="0"/>
              <w:jc w:val="center"/>
              <w:rPr>
                <w:rFonts w:eastAsia="Times New Roman" w:cs="Arial"/>
                <w:sz w:val="20"/>
                <w:szCs w:val="20"/>
                <w:lang w:eastAsia="en-GB"/>
              </w:rPr>
            </w:pPr>
          </w:p>
        </w:tc>
        <w:tc>
          <w:tcPr>
            <w:tcW w:w="2998"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Strategic profile very high and changes highly likely to threaten achievement of objectives</w:t>
            </w:r>
          </w:p>
        </w:tc>
      </w:tr>
      <w:tr w:rsidR="004728E9" w:rsidRPr="004728E9" w:rsidTr="004728E9">
        <w:tc>
          <w:tcPr>
            <w:tcW w:w="10800" w:type="dxa"/>
            <w:gridSpan w:val="8"/>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u w:val="single"/>
                <w:lang w:eastAsia="en-GB"/>
              </w:rPr>
              <w:t>Explanatory Notes</w:t>
            </w:r>
            <w:r w:rsidRPr="004728E9">
              <w:rPr>
                <w:rFonts w:eastAsia="Times New Roman" w:cs="Arial"/>
                <w:b/>
                <w:sz w:val="16"/>
                <w:szCs w:val="16"/>
                <w:lang w:eastAsia="en-GB"/>
              </w:rPr>
              <w:t xml:space="preserve"> (Completion Mandatory)</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This is a complex project involving disruption to existing services and phasing construction.  It has a great deal of political and media interest that will have to be handled carefully throughout.  Success is imperative due to the impact on constitutional standards and the quality of care which the organisation needs to improve as a priority.</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18"/>
                <w:szCs w:val="18"/>
                <w:lang w:eastAsia="en-GB"/>
              </w:rPr>
              <w:t xml:space="preserve">[Note: Record summary assessment mark to </w:t>
            </w:r>
            <w:r w:rsidRPr="004728E9">
              <w:rPr>
                <w:rFonts w:eastAsia="Times New Roman" w:cs="Arial"/>
                <w:b/>
                <w:bCs/>
                <w:sz w:val="18"/>
                <w:szCs w:val="18"/>
                <w:lang w:eastAsia="en-GB"/>
              </w:rPr>
              <w:t xml:space="preserve">Complexity Assessment Summary table below] </w:t>
            </w:r>
          </w:p>
        </w:tc>
      </w:tr>
    </w:tbl>
    <w:p w:rsidR="004728E9" w:rsidRPr="004728E9" w:rsidRDefault="004728E9" w:rsidP="004728E9">
      <w:pPr>
        <w:pageBreakBefore/>
        <w:suppressAutoHyphens/>
        <w:autoSpaceDN w:val="0"/>
        <w:rPr>
          <w:rFonts w:ascii="Times New Roman" w:eastAsia="Times New Roman" w:hAnsi="Times New Roman" w:cs="Times New Roman"/>
          <w:szCs w:val="24"/>
          <w:lang w:eastAsia="en-GB"/>
        </w:rPr>
      </w:pPr>
    </w:p>
    <w:tbl>
      <w:tblPr>
        <w:tblW w:w="0" w:type="dxa"/>
        <w:tblInd w:w="-1152" w:type="dxa"/>
        <w:tblLayout w:type="fixed"/>
        <w:tblCellMar>
          <w:left w:w="10" w:type="dxa"/>
          <w:right w:w="10" w:type="dxa"/>
        </w:tblCellMar>
        <w:tblLook w:val="04A0" w:firstRow="1" w:lastRow="0" w:firstColumn="1" w:lastColumn="0" w:noHBand="0" w:noVBand="1"/>
      </w:tblPr>
      <w:tblGrid>
        <w:gridCol w:w="2340"/>
        <w:gridCol w:w="2340"/>
        <w:gridCol w:w="540"/>
        <w:gridCol w:w="180"/>
        <w:gridCol w:w="540"/>
        <w:gridCol w:w="540"/>
        <w:gridCol w:w="720"/>
        <w:gridCol w:w="720"/>
        <w:gridCol w:w="2880"/>
      </w:tblGrid>
      <w:tr w:rsidR="004728E9" w:rsidRPr="004728E9" w:rsidTr="004728E9">
        <w:tc>
          <w:tcPr>
            <w:tcW w:w="10800" w:type="dxa"/>
            <w:gridSpan w:val="9"/>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ind w:left="360"/>
              <w:jc w:val="center"/>
              <w:rPr>
                <w:rFonts w:eastAsia="Times New Roman" w:cs="Arial"/>
                <w:b/>
                <w:szCs w:val="24"/>
                <w:lang w:eastAsia="en-GB"/>
              </w:rPr>
            </w:pPr>
            <w:r w:rsidRPr="004728E9">
              <w:rPr>
                <w:rFonts w:eastAsia="Times New Roman" w:cs="Arial"/>
                <w:b/>
                <w:szCs w:val="24"/>
                <w:lang w:eastAsia="en-GB"/>
              </w:rPr>
              <w:t>Table B</w:t>
            </w:r>
          </w:p>
          <w:p w:rsidR="004728E9" w:rsidRPr="004728E9" w:rsidRDefault="004728E9" w:rsidP="004728E9">
            <w:pPr>
              <w:suppressAutoHyphens/>
              <w:autoSpaceDN w:val="0"/>
              <w:ind w:left="360"/>
              <w:jc w:val="center"/>
              <w:rPr>
                <w:rFonts w:eastAsia="Times New Roman" w:cs="Arial"/>
                <w:b/>
                <w:sz w:val="32"/>
                <w:szCs w:val="32"/>
                <w:lang w:eastAsia="en-GB"/>
              </w:rPr>
            </w:pPr>
            <w:r w:rsidRPr="004728E9">
              <w:rPr>
                <w:rFonts w:eastAsia="Times New Roman" w:cs="Arial"/>
                <w:b/>
                <w:sz w:val="32"/>
                <w:szCs w:val="32"/>
                <w:lang w:eastAsia="en-GB"/>
              </w:rPr>
              <w:t xml:space="preserve">Programme/Project Complexity Assessment </w:t>
            </w:r>
          </w:p>
          <w:p w:rsidR="004728E9" w:rsidRPr="004728E9" w:rsidRDefault="004728E9" w:rsidP="004728E9">
            <w:pPr>
              <w:suppressAutoHyphens/>
              <w:autoSpaceDN w:val="0"/>
              <w:jc w:val="center"/>
              <w:rPr>
                <w:rFonts w:ascii="Times New Roman" w:eastAsia="Times New Roman" w:hAnsi="Times New Roman" w:cs="Times New Roman"/>
                <w:szCs w:val="24"/>
                <w:lang w:eastAsia="en-GB"/>
              </w:rPr>
            </w:pPr>
            <w:r w:rsidRPr="004728E9">
              <w:rPr>
                <w:rFonts w:eastAsia="Times New Roman" w:cs="Arial"/>
                <w:sz w:val="16"/>
                <w:szCs w:val="16"/>
                <w:lang w:eastAsia="en-GB"/>
              </w:rPr>
              <w:t>An assessment of the complexity factors that may affect the achievement of the programme/project objectives</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Cs w:val="24"/>
                <w:lang w:eastAsia="en-GB"/>
              </w:rPr>
            </w:pPr>
            <w:r w:rsidRPr="004728E9">
              <w:rPr>
                <w:rFonts w:eastAsia="Times New Roman" w:cs="Arial"/>
                <w:b/>
                <w:szCs w:val="24"/>
                <w:lang w:eastAsia="en-GB"/>
              </w:rPr>
              <w:t xml:space="preserve">B2 Delivery Challenge </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p>
        </w:tc>
        <w:tc>
          <w:tcPr>
            <w:tcW w:w="7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Very Low</w:t>
            </w: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Low</w:t>
            </w: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Med</w:t>
            </w: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6"/>
                <w:szCs w:val="16"/>
                <w:lang w:eastAsia="en-GB"/>
              </w:rPr>
            </w:pPr>
            <w:r w:rsidRPr="004728E9">
              <w:rPr>
                <w:rFonts w:eastAsia="Times New Roman" w:cs="Arial"/>
                <w:b/>
                <w:sz w:val="16"/>
                <w:szCs w:val="16"/>
                <w:lang w:eastAsia="en-GB"/>
              </w:rPr>
              <w:t>High</w:t>
            </w: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6"/>
                <w:szCs w:val="16"/>
                <w:lang w:eastAsia="en-GB"/>
              </w:rPr>
            </w:pPr>
            <w:r w:rsidRPr="004728E9">
              <w:rPr>
                <w:rFonts w:eastAsia="Times New Roman" w:cs="Arial"/>
                <w:b/>
                <w:sz w:val="16"/>
                <w:szCs w:val="16"/>
                <w:lang w:eastAsia="en-GB"/>
              </w:rPr>
              <w:t>Very High</w:t>
            </w: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sz w:val="20"/>
                <w:szCs w:val="20"/>
                <w:lang w:eastAsia="en-GB"/>
              </w:rPr>
            </w:pP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B2.1. Policy/Legal</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No legal matters or legislation involved. Policy and legal implications fully understood, aligned and stable. Policy development assurance review (e.g. PVR or equivalent) undertaken.</w:t>
            </w:r>
          </w:p>
        </w:tc>
        <w:tc>
          <w:tcPr>
            <w:tcW w:w="7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Affects complex, multiple or cross-border jurisdictions. Legal, legislative or cross organisational policy unclear or changes and challenges highly likely. No policy development reviews undertaken.</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Explanatory Notes</w:t>
            </w:r>
          </w:p>
        </w:tc>
        <w:tc>
          <w:tcPr>
            <w:tcW w:w="8460"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Multiple agency project but not anticipated to have legal or legislative impact.</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B2.2. Security </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No security or public data handling implications.</w:t>
            </w:r>
          </w:p>
        </w:tc>
        <w:tc>
          <w:tcPr>
            <w:tcW w:w="7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Significant national security or public data handling issues or requirements.</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Explanatory Notes</w:t>
            </w:r>
          </w:p>
        </w:tc>
        <w:tc>
          <w:tcPr>
            <w:tcW w:w="8460"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No additional security or data handling implications other than those already in place.</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B2.3. Requirements for business change </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Stable business, no significant changes envisaged to requirements.  </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Implications established of wider strategic changes, e.g. green agendas, sustainability. </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Clearly defined, agreed measurable outcomes. Limited change to business operations. </w:t>
            </w:r>
          </w:p>
        </w:tc>
        <w:tc>
          <w:tcPr>
            <w:tcW w:w="7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Multiple, interdependent and complex requirements that are dependent on wider emerging or change initiatives e.g. sustainability.  </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Extensive change to business operations or additional information reporting requirements.  </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Significant unplanned changes to business requirements or outcomes likely to be imposed or required.</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Explanatory Notes</w:t>
            </w:r>
          </w:p>
        </w:tc>
        <w:tc>
          <w:tcPr>
            <w:tcW w:w="8460"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Significant planned changes to business requirements.  Ultimately little change to services from a patient perspective.</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B2.4.Technology  development, production and/or techniques </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 xml:space="preserve">Involves no new or novel technology development, implementation, production, products, tools or techniques. Extensive previous use of development and/or production techniques. </w:t>
            </w:r>
          </w:p>
        </w:tc>
        <w:tc>
          <w:tcPr>
            <w:tcW w:w="7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szCs w:val="24"/>
                <w:lang w:eastAsia="en-GB"/>
              </w:rPr>
            </w:pP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szCs w:val="24"/>
                <w:lang w:eastAsia="en-GB"/>
              </w:rPr>
            </w:pP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szCs w:val="24"/>
                <w:lang w:eastAsia="en-GB"/>
              </w:rPr>
            </w:pP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First or extensive use of leading edge, novel or innovative technology. High degree of design, build or implementation complexity or uncertainty.  Technology or methodology likely to be subject to major changes. </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p>
        </w:tc>
        <w:tc>
          <w:tcPr>
            <w:tcW w:w="8460"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New build project which will implement new design ideas to improve urgent care services.  Some issue with multiple agencies using different IT systems – separate subgroup to look at new IT solutions.</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B2.5. Commercial and supplier delivery</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Established contracts or existing frameworks to be used. Commercial environment stable. Experienced sector suppliers. Single supplier or short supply chain.  </w:t>
            </w:r>
          </w:p>
        </w:tc>
        <w:tc>
          <w:tcPr>
            <w:tcW w:w="7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 xml:space="preserve">Complex or innovative commercial arrangements. Supplier market limited and/or very specialist.  Multiple suppliers or complex/volatile supply or logistical chain.   </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lastRenderedPageBreak/>
              <w:t>Explanatory Notes</w:t>
            </w:r>
          </w:p>
        </w:tc>
        <w:tc>
          <w:tcPr>
            <w:tcW w:w="8460"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Likely that the project will use existing procurement routes although the trust is considering bringing more work in house to reduce cost.  No anticipated supplier issues although some uncertainty over suppliers ability to deliver raw materials post “</w:t>
            </w:r>
            <w:proofErr w:type="spellStart"/>
            <w:r w:rsidRPr="004728E9">
              <w:rPr>
                <w:rFonts w:eastAsia="Times New Roman" w:cs="Arial"/>
                <w:sz w:val="20"/>
                <w:szCs w:val="20"/>
                <w:lang w:eastAsia="en-GB"/>
              </w:rPr>
              <w:t>Brexit</w:t>
            </w:r>
            <w:proofErr w:type="spellEnd"/>
            <w:r w:rsidRPr="004728E9">
              <w:rPr>
                <w:rFonts w:eastAsia="Times New Roman" w:cs="Arial"/>
                <w:sz w:val="20"/>
                <w:szCs w:val="20"/>
                <w:lang w:eastAsia="en-GB"/>
              </w:rPr>
              <w:t>” remains.</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B2.6. Financial provision </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color w:val="000000"/>
                <w:sz w:val="20"/>
                <w:szCs w:val="20"/>
                <w:lang w:eastAsia="en-GB"/>
              </w:rPr>
            </w:pPr>
            <w:r w:rsidRPr="004728E9">
              <w:rPr>
                <w:rFonts w:eastAsia="Times New Roman" w:cs="Arial"/>
                <w:color w:val="000000"/>
                <w:sz w:val="20"/>
                <w:szCs w:val="20"/>
                <w:lang w:eastAsia="en-GB"/>
              </w:rPr>
              <w:t xml:space="preserve">Funding from within organisation budgets, no influence from economic climate. Supplier’s funding all in place. </w:t>
            </w:r>
          </w:p>
        </w:tc>
        <w:tc>
          <w:tcPr>
            <w:tcW w:w="7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color w:val="000000"/>
                <w:sz w:val="20"/>
                <w:szCs w:val="20"/>
                <w:lang w:eastAsia="en-GB"/>
              </w:rPr>
            </w:pPr>
            <w:r w:rsidRPr="004728E9">
              <w:rPr>
                <w:rFonts w:eastAsia="Times New Roman" w:cs="Arial"/>
                <w:color w:val="000000"/>
                <w:sz w:val="20"/>
                <w:szCs w:val="20"/>
                <w:lang w:eastAsia="en-GB"/>
              </w:rPr>
              <w:t>Complex cross-organisational funding arrangements. Funding not agreed or in place. Third party or supplier funding not in place. Economic conditions likely to affect funding options or availability.</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p>
        </w:tc>
        <w:tc>
          <w:tcPr>
            <w:tcW w:w="8460"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Funding via NHSE agreed on delivery of successful FBC passing NHSE and HMT assessment.  No early fees currently agreed to develop the project through OBC and FBC.</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B2.7. Governance and  programme/project management</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Straightforward and stable governance structure.  Recognised formal PPM methodologies in use. Key post holders in place.</w:t>
            </w: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Complex or multi-faceted governance or management structures.  Governance, management structures or key post holders likely to change. </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p>
        </w:tc>
        <w:tc>
          <w:tcPr>
            <w:tcW w:w="8460"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Formal governance structures established with oversight group chaired by COO as SRO.  No anticipated changes to post holders or structure.</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B2.8. Stakeholders</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Single stakeholder community, fully bought-in. No expected change in stakeholder environment or from agreed requirements and outcomes.</w:t>
            </w: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Complex stakeholder community. </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Stakeholder environment volatile or with significant external change factors. </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p>
        </w:tc>
        <w:tc>
          <w:tcPr>
            <w:tcW w:w="8460"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Multiple stakeholders involved but within a stable environment with recognised business needs.</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B2.9 Dependencies</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Stand alone, no or few dependencies on or for other programmes or projects.</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All statutory approvals or authorisations in place. </w:t>
            </w: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szCs w:val="24"/>
                <w:lang w:eastAsia="en-GB"/>
              </w:rPr>
            </w:pP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Complex dependency relationships with other initiatives or organisations. </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Significant external statutory authorisations or approvals (e.g. legislation, financial approvals, planning consent </w:t>
            </w:r>
            <w:proofErr w:type="spellStart"/>
            <w:r w:rsidRPr="004728E9">
              <w:rPr>
                <w:rFonts w:eastAsia="Times New Roman" w:cs="Arial"/>
                <w:sz w:val="20"/>
                <w:szCs w:val="20"/>
                <w:lang w:eastAsia="en-GB"/>
              </w:rPr>
              <w:t>etc</w:t>
            </w:r>
            <w:proofErr w:type="spellEnd"/>
            <w:r w:rsidRPr="004728E9">
              <w:rPr>
                <w:rFonts w:eastAsia="Times New Roman" w:cs="Arial"/>
                <w:sz w:val="20"/>
                <w:szCs w:val="20"/>
                <w:lang w:eastAsia="en-GB"/>
              </w:rPr>
              <w:t>) remain outstanding or require explicit management.</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 </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Dependencies changing or conflicting and/or coordination increasingly challenging. </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p>
        </w:tc>
        <w:tc>
          <w:tcPr>
            <w:tcW w:w="8460"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External financial approvals required from NHSE and HMT.  Planning consent will be required due to new build element.</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B2.10. Change and implementation </w:t>
            </w:r>
          </w:p>
        </w:tc>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Single or co-located programme/project and supplier teams; single site delivery. No conflicting internal business change issues to affect change. Simple acceptance and cut-over issues. No “big bang” delivery. Change and benefits </w:t>
            </w:r>
            <w:r w:rsidRPr="004728E9">
              <w:rPr>
                <w:rFonts w:eastAsia="Times New Roman" w:cs="Arial"/>
                <w:sz w:val="20"/>
                <w:szCs w:val="20"/>
                <w:lang w:eastAsia="en-GB"/>
              </w:rPr>
              <w:lastRenderedPageBreak/>
              <w:t>management fully embedded.</w:t>
            </w: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5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Complex national or international delivery environment. Changing or uncertain implementation, cultural or physical challenges to changes likely or expected. Big bang implementation. Complex testing and cut-over issues.</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p>
        </w:tc>
        <w:tc>
          <w:tcPr>
            <w:tcW w:w="8460"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Phased implementation of a co-located single site project.</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Delivery Challenge  summary assessment</w:t>
            </w:r>
          </w:p>
        </w:tc>
        <w:tc>
          <w:tcPr>
            <w:tcW w:w="234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lang w:eastAsia="en-GB"/>
              </w:rPr>
              <w:t>Challenges to deliver are very low and</w:t>
            </w:r>
            <w:r w:rsidRPr="004728E9">
              <w:rPr>
                <w:rFonts w:eastAsia="Times New Roman" w:cs="Arial"/>
                <w:sz w:val="20"/>
                <w:szCs w:val="20"/>
                <w:lang w:eastAsia="en-GB"/>
              </w:rPr>
              <w:t xml:space="preserve"> </w:t>
            </w:r>
            <w:r w:rsidRPr="004728E9">
              <w:rPr>
                <w:rFonts w:eastAsia="Times New Roman" w:cs="Arial"/>
                <w:b/>
                <w:sz w:val="20"/>
                <w:szCs w:val="20"/>
                <w:lang w:eastAsia="en-GB"/>
              </w:rPr>
              <w:t>change is unlikely to threaten objectives</w:t>
            </w:r>
          </w:p>
        </w:tc>
        <w:tc>
          <w:tcPr>
            <w:tcW w:w="54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VL</w:t>
            </w:r>
          </w:p>
          <w:p w:rsidR="004728E9" w:rsidRPr="004728E9" w:rsidRDefault="004728E9" w:rsidP="004728E9">
            <w:pPr>
              <w:suppressAutoHyphens/>
              <w:autoSpaceDN w:val="0"/>
              <w:jc w:val="center"/>
              <w:rPr>
                <w:rFonts w:eastAsia="Times New Roman" w:cs="Arial"/>
                <w:b/>
                <w:sz w:val="20"/>
                <w:szCs w:val="20"/>
                <w:lang w:eastAsia="en-GB"/>
              </w:rPr>
            </w:pPr>
          </w:p>
        </w:tc>
        <w:tc>
          <w:tcPr>
            <w:tcW w:w="720" w:type="dxa"/>
            <w:gridSpan w:val="2"/>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L</w:t>
            </w:r>
          </w:p>
          <w:p w:rsidR="004728E9" w:rsidRPr="004728E9" w:rsidRDefault="004728E9" w:rsidP="004728E9">
            <w:pPr>
              <w:suppressAutoHyphens/>
              <w:autoSpaceDN w:val="0"/>
              <w:jc w:val="center"/>
              <w:rPr>
                <w:rFonts w:eastAsia="Times New Roman" w:cs="Arial"/>
                <w:b/>
                <w:sz w:val="20"/>
                <w:szCs w:val="20"/>
                <w:lang w:eastAsia="en-GB"/>
              </w:rPr>
            </w:pPr>
          </w:p>
        </w:tc>
        <w:tc>
          <w:tcPr>
            <w:tcW w:w="54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M</w:t>
            </w:r>
          </w:p>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X</w:t>
            </w:r>
          </w:p>
        </w:tc>
        <w:tc>
          <w:tcPr>
            <w:tcW w:w="72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H</w:t>
            </w:r>
          </w:p>
          <w:p w:rsidR="004728E9" w:rsidRPr="004728E9" w:rsidRDefault="004728E9" w:rsidP="004728E9">
            <w:pPr>
              <w:suppressAutoHyphens/>
              <w:autoSpaceDN w:val="0"/>
              <w:jc w:val="center"/>
              <w:rPr>
                <w:rFonts w:eastAsia="Times New Roman" w:cs="Arial"/>
                <w:b/>
                <w:sz w:val="20"/>
                <w:szCs w:val="20"/>
                <w:lang w:eastAsia="en-GB"/>
              </w:rPr>
            </w:pPr>
          </w:p>
        </w:tc>
        <w:tc>
          <w:tcPr>
            <w:tcW w:w="72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VH</w:t>
            </w:r>
          </w:p>
          <w:p w:rsidR="004728E9" w:rsidRPr="004728E9" w:rsidRDefault="004728E9" w:rsidP="004728E9">
            <w:pPr>
              <w:suppressAutoHyphens/>
              <w:autoSpaceDN w:val="0"/>
              <w:jc w:val="center"/>
              <w:rPr>
                <w:rFonts w:eastAsia="Times New Roman" w:cs="Arial"/>
                <w:b/>
                <w:sz w:val="20"/>
                <w:szCs w:val="20"/>
                <w:lang w:eastAsia="en-GB"/>
              </w:rPr>
            </w:pPr>
          </w:p>
        </w:tc>
        <w:tc>
          <w:tcPr>
            <w:tcW w:w="288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lang w:eastAsia="en-GB"/>
              </w:rPr>
              <w:t>Very high degree of challenge and changes are highly likely to threaten achievement of objectives</w:t>
            </w:r>
          </w:p>
        </w:tc>
      </w:tr>
      <w:tr w:rsidR="004728E9" w:rsidRPr="004728E9" w:rsidTr="004728E9">
        <w:tc>
          <w:tcPr>
            <w:tcW w:w="10800" w:type="dxa"/>
            <w:gridSpan w:val="9"/>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u w:val="single"/>
                <w:lang w:eastAsia="en-GB"/>
              </w:rPr>
              <w:t>Explanatory Notes</w:t>
            </w:r>
            <w:r w:rsidRPr="004728E9">
              <w:rPr>
                <w:rFonts w:eastAsia="Times New Roman" w:cs="Arial"/>
                <w:b/>
                <w:sz w:val="20"/>
                <w:szCs w:val="20"/>
                <w:lang w:eastAsia="en-GB"/>
              </w:rPr>
              <w:t xml:space="preserve"> </w:t>
            </w:r>
            <w:r w:rsidRPr="004728E9">
              <w:rPr>
                <w:rFonts w:eastAsia="Times New Roman" w:cs="Arial"/>
                <w:b/>
                <w:sz w:val="16"/>
                <w:szCs w:val="16"/>
                <w:lang w:eastAsia="en-GB"/>
              </w:rPr>
              <w:t>(Completion Mandatory)</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Some complexities from multiagency project and requiring external approvals.  However, it is felt the project can be, to a large extent, worked up internal with only moderate risk to ability to deliver.</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18"/>
                <w:szCs w:val="18"/>
                <w:lang w:eastAsia="en-GB"/>
              </w:rPr>
              <w:t xml:space="preserve">[Note: Record summary assessment mark to </w:t>
            </w:r>
            <w:r w:rsidRPr="004728E9">
              <w:rPr>
                <w:rFonts w:eastAsia="Times New Roman" w:cs="Arial"/>
                <w:b/>
                <w:bCs/>
                <w:sz w:val="18"/>
                <w:szCs w:val="18"/>
                <w:lang w:eastAsia="en-GB"/>
              </w:rPr>
              <w:t>Complexity Assessment Summary  table below]</w:t>
            </w:r>
          </w:p>
        </w:tc>
      </w:tr>
    </w:tbl>
    <w:p w:rsidR="004728E9" w:rsidRPr="004728E9" w:rsidRDefault="004728E9" w:rsidP="004728E9">
      <w:pPr>
        <w:pageBreakBefore/>
        <w:suppressAutoHyphens/>
        <w:autoSpaceDN w:val="0"/>
        <w:rPr>
          <w:rFonts w:ascii="Times New Roman" w:eastAsia="Times New Roman" w:hAnsi="Times New Roman" w:cs="Times New Roman"/>
          <w:szCs w:val="24"/>
          <w:lang w:eastAsia="en-GB"/>
        </w:rPr>
      </w:pPr>
    </w:p>
    <w:tbl>
      <w:tblPr>
        <w:tblW w:w="10800" w:type="dxa"/>
        <w:tblInd w:w="-1152" w:type="dxa"/>
        <w:tblCellMar>
          <w:left w:w="10" w:type="dxa"/>
          <w:right w:w="10" w:type="dxa"/>
        </w:tblCellMar>
        <w:tblLook w:val="04A0" w:firstRow="1" w:lastRow="0" w:firstColumn="1" w:lastColumn="0" w:noHBand="0" w:noVBand="1"/>
      </w:tblPr>
      <w:tblGrid>
        <w:gridCol w:w="2335"/>
        <w:gridCol w:w="2334"/>
        <w:gridCol w:w="563"/>
        <w:gridCol w:w="719"/>
        <w:gridCol w:w="537"/>
        <w:gridCol w:w="722"/>
        <w:gridCol w:w="719"/>
        <w:gridCol w:w="2871"/>
      </w:tblGrid>
      <w:tr w:rsidR="004728E9" w:rsidRPr="004728E9" w:rsidTr="004728E9">
        <w:tc>
          <w:tcPr>
            <w:tcW w:w="10800"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ind w:left="360"/>
              <w:jc w:val="center"/>
              <w:rPr>
                <w:rFonts w:eastAsia="Times New Roman" w:cs="Arial"/>
                <w:b/>
                <w:szCs w:val="24"/>
                <w:lang w:eastAsia="en-GB"/>
              </w:rPr>
            </w:pPr>
            <w:r w:rsidRPr="004728E9">
              <w:rPr>
                <w:rFonts w:eastAsia="Times New Roman" w:cs="Arial"/>
                <w:b/>
                <w:szCs w:val="24"/>
                <w:lang w:eastAsia="en-GB"/>
              </w:rPr>
              <w:t>Table B</w:t>
            </w:r>
          </w:p>
          <w:p w:rsidR="004728E9" w:rsidRPr="004728E9" w:rsidRDefault="004728E9" w:rsidP="004728E9">
            <w:pPr>
              <w:suppressAutoHyphens/>
              <w:autoSpaceDN w:val="0"/>
              <w:ind w:left="360"/>
              <w:jc w:val="center"/>
              <w:rPr>
                <w:rFonts w:eastAsia="Times New Roman" w:cs="Arial"/>
                <w:b/>
                <w:sz w:val="32"/>
                <w:szCs w:val="32"/>
                <w:lang w:eastAsia="en-GB"/>
              </w:rPr>
            </w:pPr>
            <w:r w:rsidRPr="004728E9">
              <w:rPr>
                <w:rFonts w:eastAsia="Times New Roman" w:cs="Arial"/>
                <w:b/>
                <w:sz w:val="32"/>
                <w:szCs w:val="32"/>
                <w:lang w:eastAsia="en-GB"/>
              </w:rPr>
              <w:t xml:space="preserve">Programme/Project Complexity Assessment </w:t>
            </w:r>
          </w:p>
          <w:p w:rsidR="004728E9" w:rsidRPr="004728E9" w:rsidRDefault="004728E9" w:rsidP="004728E9">
            <w:pPr>
              <w:suppressAutoHyphens/>
              <w:autoSpaceDN w:val="0"/>
              <w:jc w:val="center"/>
              <w:rPr>
                <w:rFonts w:ascii="Times New Roman" w:eastAsia="Times New Roman" w:hAnsi="Times New Roman" w:cs="Times New Roman"/>
                <w:szCs w:val="24"/>
                <w:lang w:eastAsia="en-GB"/>
              </w:rPr>
            </w:pPr>
            <w:r w:rsidRPr="004728E9">
              <w:rPr>
                <w:rFonts w:eastAsia="Times New Roman" w:cs="Arial"/>
                <w:sz w:val="16"/>
                <w:szCs w:val="16"/>
                <w:lang w:eastAsia="en-GB"/>
              </w:rPr>
              <w:t>An assessment of the complexity factors that may affect the achievement of the programme/project objectives</w:t>
            </w:r>
          </w:p>
        </w:tc>
      </w:tr>
      <w:tr w:rsidR="004728E9" w:rsidRPr="004728E9" w:rsidTr="004728E9">
        <w:tc>
          <w:tcPr>
            <w:tcW w:w="2335"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Cs w:val="24"/>
                <w:lang w:eastAsia="en-GB"/>
              </w:rPr>
              <w:t>B3 Capacity and Capability</w:t>
            </w:r>
          </w:p>
        </w:tc>
        <w:tc>
          <w:tcPr>
            <w:tcW w:w="23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Very Low</w:t>
            </w:r>
          </w:p>
        </w:tc>
        <w:tc>
          <w:tcPr>
            <w:tcW w:w="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Low</w:t>
            </w:r>
          </w:p>
        </w:tc>
        <w:tc>
          <w:tcPr>
            <w:tcW w:w="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Med</w:t>
            </w:r>
          </w:p>
        </w:tc>
        <w:tc>
          <w:tcPr>
            <w:tcW w:w="7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High</w:t>
            </w:r>
          </w:p>
        </w:tc>
        <w:tc>
          <w:tcPr>
            <w:tcW w:w="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6"/>
                <w:szCs w:val="16"/>
                <w:lang w:eastAsia="en-GB"/>
              </w:rPr>
            </w:pPr>
            <w:r w:rsidRPr="004728E9">
              <w:rPr>
                <w:rFonts w:eastAsia="Times New Roman" w:cs="Arial"/>
                <w:b/>
                <w:sz w:val="16"/>
                <w:szCs w:val="16"/>
                <w:lang w:eastAsia="en-GB"/>
              </w:rPr>
              <w:t>Very High</w:t>
            </w:r>
          </w:p>
        </w:tc>
        <w:tc>
          <w:tcPr>
            <w:tcW w:w="28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sz w:val="20"/>
                <w:szCs w:val="20"/>
                <w:lang w:eastAsia="en-GB"/>
              </w:rPr>
            </w:pPr>
          </w:p>
        </w:tc>
      </w:tr>
      <w:tr w:rsidR="004728E9" w:rsidRPr="004728E9" w:rsidTr="004728E9">
        <w:tc>
          <w:tcPr>
            <w:tcW w:w="2335"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B3.1. Programme or project team</w:t>
            </w:r>
          </w:p>
        </w:tc>
        <w:tc>
          <w:tcPr>
            <w:tcW w:w="23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Fully resourced and skilled team.</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Stable team, no recruitment issues. Specialist support (e.g. commercial, legal) in place or available when required. Experienced with similar change or technology projects.</w:t>
            </w: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8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Personnel resources or funding not available when required.  Significant resource changes likely leading to skill gaps or disruption to key posts. No previous experience with similar change or technology.</w:t>
            </w:r>
          </w:p>
        </w:tc>
      </w:tr>
      <w:tr w:rsidR="004728E9" w:rsidRPr="004728E9" w:rsidTr="004728E9">
        <w:tc>
          <w:tcPr>
            <w:tcW w:w="23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p>
        </w:tc>
        <w:tc>
          <w:tcPr>
            <w:tcW w:w="8465"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Key issue around approvals for funding, potential approval delays and limited early release to develop to the project.  Project team in place with </w:t>
            </w:r>
            <w:proofErr w:type="gramStart"/>
            <w:r w:rsidRPr="004728E9">
              <w:rPr>
                <w:rFonts w:eastAsia="Times New Roman" w:cs="Arial"/>
                <w:sz w:val="20"/>
                <w:szCs w:val="20"/>
                <w:lang w:eastAsia="en-GB"/>
              </w:rPr>
              <w:t>some  experience</w:t>
            </w:r>
            <w:proofErr w:type="gramEnd"/>
            <w:r w:rsidRPr="004728E9">
              <w:rPr>
                <w:rFonts w:eastAsia="Times New Roman" w:cs="Arial"/>
                <w:sz w:val="20"/>
                <w:szCs w:val="20"/>
                <w:lang w:eastAsia="en-GB"/>
              </w:rPr>
              <w:t xml:space="preserve"> to deliver the project but some recognised gaps being managed.</w:t>
            </w:r>
          </w:p>
        </w:tc>
      </w:tr>
      <w:tr w:rsidR="004728E9" w:rsidRPr="004728E9" w:rsidTr="004728E9">
        <w:tc>
          <w:tcPr>
            <w:tcW w:w="2335"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B3.2 Stakeholders and organisation </w:t>
            </w:r>
          </w:p>
        </w:tc>
        <w:tc>
          <w:tcPr>
            <w:tcW w:w="23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Fully resourced and skilled, available when required. Open to and comply with change. Common and accepted priority across an engaged stakeholder community.   </w:t>
            </w: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8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Key resources or skills lacking or unavailable when required.</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Changing environment. Business priority is low, inconsistent or changing. Significantly differing priorities between stakeholder groups.</w:t>
            </w:r>
          </w:p>
        </w:tc>
      </w:tr>
      <w:tr w:rsidR="004728E9" w:rsidRPr="004728E9" w:rsidTr="004728E9">
        <w:tc>
          <w:tcPr>
            <w:tcW w:w="23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p>
        </w:tc>
        <w:tc>
          <w:tcPr>
            <w:tcW w:w="8465"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Most stakeholders on board with the scheme with clear and unified goals.</w:t>
            </w:r>
          </w:p>
        </w:tc>
      </w:tr>
      <w:tr w:rsidR="004728E9" w:rsidRPr="004728E9" w:rsidTr="004728E9">
        <w:tc>
          <w:tcPr>
            <w:tcW w:w="2335"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B3.3. Suppliers</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(internal or external)</w:t>
            </w:r>
          </w:p>
        </w:tc>
        <w:tc>
          <w:tcPr>
            <w:tcW w:w="23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Experienced, strong and stable market or suppliers.</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Supplier resources skilled and available, with ongoing support and commitment.</w:t>
            </w: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8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No, weak or overstretched market - unlikely to meet demand. </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Suppliers unable to sustain support, withdraw, or cannot meet requirements.</w:t>
            </w:r>
          </w:p>
        </w:tc>
      </w:tr>
      <w:tr w:rsidR="004728E9" w:rsidRPr="004728E9" w:rsidTr="004728E9">
        <w:tc>
          <w:tcPr>
            <w:tcW w:w="23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p>
        </w:tc>
        <w:tc>
          <w:tcPr>
            <w:tcW w:w="8465"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The trust has a lot of experience working with local contractors on several large capital projects.</w:t>
            </w:r>
          </w:p>
        </w:tc>
      </w:tr>
      <w:tr w:rsidR="004728E9" w:rsidRPr="004728E9" w:rsidTr="004728E9">
        <w:tc>
          <w:tcPr>
            <w:tcW w:w="2335"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B3.4. Strategic leadership and business culture</w:t>
            </w:r>
          </w:p>
        </w:tc>
        <w:tc>
          <w:tcPr>
            <w:tcW w:w="23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Good capacity, continuity and experience in leadership roles. </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No unforeseen organisational pressures. Open culture for change, no staff or trade union concerns. </w:t>
            </w: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7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8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Strategic leadership subject to change.  No previous responsibility for or direct experience of change of similar magnitude or complexity.  A challenging cultural, staff or workload environment. </w:t>
            </w:r>
          </w:p>
        </w:tc>
      </w:tr>
      <w:tr w:rsidR="004728E9" w:rsidRPr="004728E9" w:rsidTr="004728E9">
        <w:tc>
          <w:tcPr>
            <w:tcW w:w="23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p>
        </w:tc>
        <w:tc>
          <w:tcPr>
            <w:tcW w:w="8465"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High pressure working environment due to existing constraints on urgent care, however, no anticipated changes to continuity in leadership roles.</w:t>
            </w:r>
          </w:p>
        </w:tc>
      </w:tr>
      <w:tr w:rsidR="004728E9" w:rsidRPr="004728E9" w:rsidTr="004728E9">
        <w:tc>
          <w:tcPr>
            <w:tcW w:w="2335"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Capacity &amp; Capability summary assessment</w:t>
            </w:r>
          </w:p>
        </w:tc>
        <w:tc>
          <w:tcPr>
            <w:tcW w:w="2334"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 xml:space="preserve">Capacity and capability in place and change unlikely to threaten objectives </w:t>
            </w:r>
          </w:p>
        </w:tc>
        <w:tc>
          <w:tcPr>
            <w:tcW w:w="563"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VL</w:t>
            </w:r>
          </w:p>
          <w:p w:rsidR="004728E9" w:rsidRPr="004728E9" w:rsidRDefault="004728E9" w:rsidP="004728E9">
            <w:pPr>
              <w:suppressAutoHyphens/>
              <w:autoSpaceDN w:val="0"/>
              <w:jc w:val="center"/>
              <w:rPr>
                <w:rFonts w:eastAsia="Times New Roman" w:cs="Arial"/>
                <w:b/>
                <w:sz w:val="20"/>
                <w:szCs w:val="20"/>
                <w:lang w:eastAsia="en-GB"/>
              </w:rPr>
            </w:pPr>
          </w:p>
        </w:tc>
        <w:tc>
          <w:tcPr>
            <w:tcW w:w="719"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L</w:t>
            </w:r>
          </w:p>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X</w:t>
            </w:r>
          </w:p>
        </w:tc>
        <w:tc>
          <w:tcPr>
            <w:tcW w:w="537"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M</w:t>
            </w:r>
          </w:p>
          <w:p w:rsidR="004728E9" w:rsidRPr="004728E9" w:rsidRDefault="004728E9" w:rsidP="004728E9">
            <w:pPr>
              <w:suppressAutoHyphens/>
              <w:autoSpaceDN w:val="0"/>
              <w:jc w:val="center"/>
              <w:rPr>
                <w:rFonts w:eastAsia="Times New Roman" w:cs="Arial"/>
                <w:b/>
                <w:sz w:val="20"/>
                <w:szCs w:val="20"/>
                <w:lang w:eastAsia="en-GB"/>
              </w:rPr>
            </w:pPr>
          </w:p>
        </w:tc>
        <w:tc>
          <w:tcPr>
            <w:tcW w:w="722"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H</w:t>
            </w:r>
          </w:p>
          <w:p w:rsidR="004728E9" w:rsidRPr="004728E9" w:rsidRDefault="004728E9" w:rsidP="004728E9">
            <w:pPr>
              <w:suppressAutoHyphens/>
              <w:autoSpaceDN w:val="0"/>
              <w:jc w:val="center"/>
              <w:rPr>
                <w:rFonts w:eastAsia="Times New Roman" w:cs="Arial"/>
                <w:b/>
                <w:sz w:val="20"/>
                <w:szCs w:val="20"/>
                <w:lang w:eastAsia="en-GB"/>
              </w:rPr>
            </w:pPr>
          </w:p>
        </w:tc>
        <w:tc>
          <w:tcPr>
            <w:tcW w:w="719"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VH</w:t>
            </w:r>
          </w:p>
          <w:p w:rsidR="004728E9" w:rsidRPr="004728E9" w:rsidRDefault="004728E9" w:rsidP="004728E9">
            <w:pPr>
              <w:suppressAutoHyphens/>
              <w:autoSpaceDN w:val="0"/>
              <w:jc w:val="center"/>
              <w:rPr>
                <w:rFonts w:eastAsia="Times New Roman" w:cs="Arial"/>
                <w:b/>
                <w:sz w:val="20"/>
                <w:szCs w:val="20"/>
                <w:lang w:eastAsia="en-GB"/>
              </w:rPr>
            </w:pPr>
          </w:p>
        </w:tc>
        <w:tc>
          <w:tcPr>
            <w:tcW w:w="2871"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lang w:eastAsia="en-GB"/>
              </w:rPr>
              <w:t>Significant capacity or capability issues. Changes highly likely to threaten achievement of objectives</w:t>
            </w:r>
            <w:r w:rsidRPr="004728E9">
              <w:rPr>
                <w:rFonts w:eastAsia="Times New Roman" w:cs="Arial"/>
                <w:sz w:val="20"/>
                <w:szCs w:val="20"/>
                <w:lang w:eastAsia="en-GB"/>
              </w:rPr>
              <w:t xml:space="preserve"> </w:t>
            </w:r>
          </w:p>
        </w:tc>
      </w:tr>
      <w:tr w:rsidR="004728E9" w:rsidRPr="004728E9" w:rsidTr="004728E9">
        <w:tc>
          <w:tcPr>
            <w:tcW w:w="10800" w:type="dxa"/>
            <w:gridSpan w:val="8"/>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u w:val="single"/>
                <w:lang w:eastAsia="en-GB"/>
              </w:rPr>
              <w:t>Explanatory Notes</w:t>
            </w:r>
            <w:r w:rsidRPr="004728E9">
              <w:rPr>
                <w:rFonts w:eastAsia="Times New Roman" w:cs="Arial"/>
                <w:b/>
                <w:sz w:val="16"/>
                <w:szCs w:val="16"/>
                <w:lang w:eastAsia="en-GB"/>
              </w:rPr>
              <w:t xml:space="preserve"> (Completion Mandatory)</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lastRenderedPageBreak/>
              <w:t>No major complexity issues identified that could affect the ability to achieve the project.  The organisations have sufficient capacity to deliver but require assistance in terms of early release of funding to develop the scheme.</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18"/>
                <w:szCs w:val="18"/>
                <w:lang w:eastAsia="en-GB"/>
              </w:rPr>
              <w:t xml:space="preserve">[Note: Record summary assessment mark to </w:t>
            </w:r>
            <w:r w:rsidRPr="004728E9">
              <w:rPr>
                <w:rFonts w:eastAsia="Times New Roman" w:cs="Arial"/>
                <w:b/>
                <w:bCs/>
                <w:sz w:val="18"/>
                <w:szCs w:val="18"/>
                <w:lang w:eastAsia="en-GB"/>
              </w:rPr>
              <w:t>Complexity Assessment Summary table below]</w:t>
            </w:r>
          </w:p>
        </w:tc>
      </w:tr>
    </w:tbl>
    <w:p w:rsidR="004728E9" w:rsidRPr="004728E9" w:rsidRDefault="004728E9" w:rsidP="004728E9">
      <w:pPr>
        <w:pageBreakBefore/>
        <w:suppressAutoHyphens/>
        <w:autoSpaceDN w:val="0"/>
        <w:rPr>
          <w:rFonts w:ascii="Times New Roman" w:eastAsia="Times New Roman" w:hAnsi="Times New Roman" w:cs="Times New Roman"/>
          <w:szCs w:val="24"/>
          <w:lang w:eastAsia="en-GB"/>
        </w:rPr>
      </w:pPr>
    </w:p>
    <w:tbl>
      <w:tblPr>
        <w:tblW w:w="10800" w:type="dxa"/>
        <w:tblInd w:w="-1152" w:type="dxa"/>
        <w:tblCellMar>
          <w:left w:w="10" w:type="dxa"/>
          <w:right w:w="10" w:type="dxa"/>
        </w:tblCellMar>
        <w:tblLook w:val="04A0" w:firstRow="1" w:lastRow="0" w:firstColumn="1" w:lastColumn="0" w:noHBand="0" w:noVBand="1"/>
      </w:tblPr>
      <w:tblGrid>
        <w:gridCol w:w="2340"/>
        <w:gridCol w:w="2317"/>
        <w:gridCol w:w="563"/>
        <w:gridCol w:w="720"/>
        <w:gridCol w:w="642"/>
        <w:gridCol w:w="618"/>
        <w:gridCol w:w="720"/>
        <w:gridCol w:w="2880"/>
      </w:tblGrid>
      <w:tr w:rsidR="004728E9" w:rsidRPr="004728E9" w:rsidTr="004728E9">
        <w:tc>
          <w:tcPr>
            <w:tcW w:w="10800"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ind w:left="360"/>
              <w:jc w:val="center"/>
              <w:rPr>
                <w:rFonts w:eastAsia="Times New Roman" w:cs="Arial"/>
                <w:b/>
                <w:szCs w:val="24"/>
                <w:lang w:eastAsia="en-GB"/>
              </w:rPr>
            </w:pPr>
            <w:r w:rsidRPr="004728E9">
              <w:rPr>
                <w:rFonts w:eastAsia="Times New Roman" w:cs="Arial"/>
                <w:b/>
                <w:szCs w:val="24"/>
                <w:lang w:eastAsia="en-GB"/>
              </w:rPr>
              <w:t>Table B</w:t>
            </w:r>
          </w:p>
          <w:p w:rsidR="004728E9" w:rsidRPr="004728E9" w:rsidRDefault="004728E9" w:rsidP="004728E9">
            <w:pPr>
              <w:suppressAutoHyphens/>
              <w:autoSpaceDN w:val="0"/>
              <w:ind w:left="360"/>
              <w:jc w:val="center"/>
              <w:rPr>
                <w:rFonts w:eastAsia="Times New Roman" w:cs="Arial"/>
                <w:b/>
                <w:sz w:val="32"/>
                <w:szCs w:val="32"/>
                <w:lang w:eastAsia="en-GB"/>
              </w:rPr>
            </w:pPr>
            <w:r w:rsidRPr="004728E9">
              <w:rPr>
                <w:rFonts w:eastAsia="Times New Roman" w:cs="Arial"/>
                <w:b/>
                <w:sz w:val="32"/>
                <w:szCs w:val="32"/>
                <w:lang w:eastAsia="en-GB"/>
              </w:rPr>
              <w:t xml:space="preserve">Programme/Project Complexity Assessment </w:t>
            </w:r>
          </w:p>
          <w:p w:rsidR="004728E9" w:rsidRPr="004728E9" w:rsidRDefault="004728E9" w:rsidP="004728E9">
            <w:pPr>
              <w:suppressAutoHyphens/>
              <w:autoSpaceDN w:val="0"/>
              <w:jc w:val="center"/>
              <w:rPr>
                <w:rFonts w:ascii="Times New Roman" w:eastAsia="Times New Roman" w:hAnsi="Times New Roman" w:cs="Times New Roman"/>
                <w:szCs w:val="24"/>
                <w:lang w:eastAsia="en-GB"/>
              </w:rPr>
            </w:pPr>
            <w:r w:rsidRPr="004728E9">
              <w:rPr>
                <w:rFonts w:eastAsia="Times New Roman" w:cs="Arial"/>
                <w:sz w:val="16"/>
                <w:szCs w:val="16"/>
                <w:lang w:eastAsia="en-GB"/>
              </w:rPr>
              <w:t>An assessment of the complexity factors that may affect the achievement of the programme/project objectives</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Cs w:val="24"/>
                <w:lang w:eastAsia="en-GB"/>
              </w:rPr>
              <w:t>B4 Scale</w:t>
            </w:r>
          </w:p>
        </w:tc>
        <w:tc>
          <w:tcPr>
            <w:tcW w:w="23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Very Low</w:t>
            </w: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Low</w:t>
            </w:r>
          </w:p>
        </w:tc>
        <w:tc>
          <w:tcPr>
            <w:tcW w:w="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Med</w:t>
            </w: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16"/>
                <w:szCs w:val="16"/>
                <w:lang w:eastAsia="en-GB"/>
              </w:rPr>
            </w:pPr>
            <w:r w:rsidRPr="004728E9">
              <w:rPr>
                <w:rFonts w:eastAsia="Times New Roman" w:cs="Arial"/>
                <w:b/>
                <w:sz w:val="16"/>
                <w:szCs w:val="16"/>
                <w:lang w:eastAsia="en-GB"/>
              </w:rPr>
              <w:t>High</w:t>
            </w: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16"/>
                <w:szCs w:val="16"/>
                <w:lang w:eastAsia="en-GB"/>
              </w:rPr>
            </w:pPr>
            <w:r w:rsidRPr="004728E9">
              <w:rPr>
                <w:rFonts w:eastAsia="Times New Roman" w:cs="Arial"/>
                <w:b/>
                <w:sz w:val="16"/>
                <w:szCs w:val="16"/>
                <w:lang w:eastAsia="en-GB"/>
              </w:rPr>
              <w:t>Very High</w:t>
            </w: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sz w:val="20"/>
                <w:szCs w:val="20"/>
                <w:lang w:eastAsia="en-GB"/>
              </w:rPr>
            </w:pP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B4.1 Time</w:t>
            </w:r>
          </w:p>
        </w:tc>
        <w:tc>
          <w:tcPr>
            <w:tcW w:w="23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Timescales not challenging, no external drivers. No imposed changes expected to the agreed schedules.  Contingency available and tested business continuity plans.</w:t>
            </w: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Schedules very challenging. Immovable deadlines.  Major changes to deadlines or imposed deadlines likely to occur. Very limited or no contingency or contingency options available.</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p>
        </w:tc>
        <w:tc>
          <w:tcPr>
            <w:tcW w:w="8460"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High pressure to deliver quickly due to political pressure and the need to reform urgent care may lead to significant constraints and unknown issues throughout the project.</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B4.2 Budget</w:t>
            </w:r>
          </w:p>
        </w:tc>
        <w:tc>
          <w:tcPr>
            <w:tcW w:w="23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Budgets within delegations and local control. </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Costs relatively small to overall organisational portfolio spend. </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Budgets agreed and stable. Appropriate financial management systems established.</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Change management system in place. </w:t>
            </w: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Budgets outside organisational spend delegations.</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Cost estimates subject to significant pressures from ongoing or expected change. </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Costs are significant, relative to the organisation’s programme/project spend. </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Financial management system not in place or audited. Cross organisational/ multi-faceted funding with complex financial control and reporting.</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p>
        </w:tc>
        <w:tc>
          <w:tcPr>
            <w:tcW w:w="8460"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Significant capital requirement.  Budget is largely outside of the organisations control although an agreed envelope based on the SOC’s has been approved.  Costs are now very significant and in excess of the original agreement.</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B4.3 Benefits</w:t>
            </w:r>
          </w:p>
        </w:tc>
        <w:tc>
          <w:tcPr>
            <w:tcW w:w="23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 xml:space="preserve">Benefits relatively small. Benefits easily and clearly defined, owned, measurable and achievable. No expected changes which might increase scale of benefits. </w:t>
            </w: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Magnitude of benefits significant. Complex benefits realisation challenges. Changing benefits management environment or realisation responsibilities. </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Achievability of benefits in doubt. Difficult to measure.</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p>
        </w:tc>
        <w:tc>
          <w:tcPr>
            <w:tcW w:w="8460"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Potentially large benefits to performance and quality of care, however investment needed across the whole hospital as flow out of the site impacts on the ability of A&amp;E to deliver.  This may reduce the performance benefits although improvements to dignity and quality of care should remain.</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B4.4. Quality </w:t>
            </w:r>
          </w:p>
        </w:tc>
        <w:tc>
          <w:tcPr>
            <w:tcW w:w="23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Quality requirements clear, easily achievable and stable. </w:t>
            </w:r>
          </w:p>
        </w:tc>
        <w:tc>
          <w:tcPr>
            <w:tcW w:w="5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6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6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Quality targets extremely challenging, likely to change significantly, or hard to achieve.</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Explanatory Notes</w:t>
            </w:r>
          </w:p>
        </w:tc>
        <w:tc>
          <w:tcPr>
            <w:tcW w:w="8460"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Constitutional standards will still be at risk as described above.  </w:t>
            </w:r>
          </w:p>
        </w:tc>
      </w:tr>
      <w:tr w:rsidR="004728E9" w:rsidRPr="004728E9" w:rsidTr="004728E9">
        <w:tc>
          <w:tcPr>
            <w:tcW w:w="234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Scale summary  assessment</w:t>
            </w:r>
          </w:p>
        </w:tc>
        <w:tc>
          <w:tcPr>
            <w:tcW w:w="2317"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 xml:space="preserve">Small scale, changes unlikely to threaten objectives </w:t>
            </w:r>
          </w:p>
        </w:tc>
        <w:tc>
          <w:tcPr>
            <w:tcW w:w="563"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VL</w:t>
            </w:r>
          </w:p>
          <w:p w:rsidR="004728E9" w:rsidRPr="004728E9" w:rsidRDefault="004728E9" w:rsidP="004728E9">
            <w:pPr>
              <w:suppressAutoHyphens/>
              <w:autoSpaceDN w:val="0"/>
              <w:jc w:val="center"/>
              <w:rPr>
                <w:rFonts w:eastAsia="Times New Roman" w:cs="Arial"/>
                <w:b/>
                <w:sz w:val="20"/>
                <w:szCs w:val="20"/>
                <w:lang w:eastAsia="en-GB"/>
              </w:rPr>
            </w:pPr>
          </w:p>
        </w:tc>
        <w:tc>
          <w:tcPr>
            <w:tcW w:w="72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L</w:t>
            </w:r>
          </w:p>
          <w:p w:rsidR="004728E9" w:rsidRPr="004728E9" w:rsidRDefault="004728E9" w:rsidP="004728E9">
            <w:pPr>
              <w:suppressAutoHyphens/>
              <w:autoSpaceDN w:val="0"/>
              <w:jc w:val="center"/>
              <w:rPr>
                <w:rFonts w:eastAsia="Times New Roman" w:cs="Arial"/>
                <w:b/>
                <w:sz w:val="20"/>
                <w:szCs w:val="20"/>
                <w:lang w:eastAsia="en-GB"/>
              </w:rPr>
            </w:pPr>
          </w:p>
        </w:tc>
        <w:tc>
          <w:tcPr>
            <w:tcW w:w="642"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M</w:t>
            </w:r>
          </w:p>
          <w:p w:rsidR="004728E9" w:rsidRPr="004728E9" w:rsidRDefault="004728E9" w:rsidP="004728E9">
            <w:pPr>
              <w:suppressAutoHyphens/>
              <w:autoSpaceDN w:val="0"/>
              <w:jc w:val="center"/>
              <w:rPr>
                <w:rFonts w:eastAsia="Times New Roman" w:cs="Arial"/>
                <w:b/>
                <w:sz w:val="20"/>
                <w:szCs w:val="20"/>
                <w:lang w:eastAsia="en-GB"/>
              </w:rPr>
            </w:pPr>
          </w:p>
        </w:tc>
        <w:tc>
          <w:tcPr>
            <w:tcW w:w="618"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H</w:t>
            </w:r>
          </w:p>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X</w:t>
            </w:r>
          </w:p>
        </w:tc>
        <w:tc>
          <w:tcPr>
            <w:tcW w:w="72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VH</w:t>
            </w:r>
          </w:p>
          <w:p w:rsidR="004728E9" w:rsidRPr="004728E9" w:rsidRDefault="004728E9" w:rsidP="004728E9">
            <w:pPr>
              <w:suppressAutoHyphens/>
              <w:autoSpaceDN w:val="0"/>
              <w:jc w:val="center"/>
              <w:rPr>
                <w:rFonts w:eastAsia="Times New Roman" w:cs="Arial"/>
                <w:b/>
                <w:sz w:val="20"/>
                <w:szCs w:val="20"/>
                <w:lang w:eastAsia="en-GB"/>
              </w:rPr>
            </w:pPr>
          </w:p>
        </w:tc>
        <w:tc>
          <w:tcPr>
            <w:tcW w:w="288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 xml:space="preserve">Very large scale, and changes highly likely to </w:t>
            </w:r>
            <w:r w:rsidRPr="004728E9">
              <w:rPr>
                <w:rFonts w:eastAsia="Times New Roman" w:cs="Arial"/>
                <w:b/>
                <w:sz w:val="20"/>
                <w:szCs w:val="20"/>
                <w:lang w:eastAsia="en-GB"/>
              </w:rPr>
              <w:lastRenderedPageBreak/>
              <w:t>threaten achievement of objectives</w:t>
            </w:r>
          </w:p>
        </w:tc>
      </w:tr>
      <w:tr w:rsidR="004728E9" w:rsidRPr="004728E9" w:rsidTr="004728E9">
        <w:tc>
          <w:tcPr>
            <w:tcW w:w="10800" w:type="dxa"/>
            <w:gridSpan w:val="8"/>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u w:val="single"/>
                <w:lang w:eastAsia="en-GB"/>
              </w:rPr>
              <w:lastRenderedPageBreak/>
              <w:t>Explanatory Notes</w:t>
            </w:r>
            <w:r w:rsidRPr="004728E9">
              <w:rPr>
                <w:rFonts w:eastAsia="Times New Roman" w:cs="Arial"/>
                <w:b/>
                <w:sz w:val="16"/>
                <w:szCs w:val="16"/>
                <w:lang w:eastAsia="en-GB"/>
              </w:rPr>
              <w:t xml:space="preserve"> (Completion Mandatory)</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Difficult timeframe, fixed budget and potential impact on benefits without investment in the whole patient pathway will increase the risk to achieving the benefits in the project.</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18"/>
                <w:szCs w:val="18"/>
                <w:lang w:eastAsia="en-GB"/>
              </w:rPr>
              <w:t xml:space="preserve">[Note: Record summary assessment mark to </w:t>
            </w:r>
            <w:r w:rsidRPr="004728E9">
              <w:rPr>
                <w:rFonts w:eastAsia="Times New Roman" w:cs="Arial"/>
                <w:b/>
                <w:bCs/>
                <w:sz w:val="18"/>
                <w:szCs w:val="18"/>
                <w:lang w:eastAsia="en-GB"/>
              </w:rPr>
              <w:t>Complexity Assessment Summary table below]</w:t>
            </w:r>
          </w:p>
        </w:tc>
      </w:tr>
    </w:tbl>
    <w:p w:rsidR="004728E9" w:rsidRPr="004728E9" w:rsidRDefault="004728E9" w:rsidP="004728E9">
      <w:pPr>
        <w:suppressAutoHyphens/>
        <w:autoSpaceDN w:val="0"/>
        <w:rPr>
          <w:rFonts w:ascii="Times New Roman" w:eastAsia="Times New Roman" w:hAnsi="Times New Roman" w:cs="Times New Roman"/>
          <w:szCs w:val="24"/>
          <w:lang w:eastAsia="en-GB"/>
        </w:rPr>
      </w:pPr>
    </w:p>
    <w:p w:rsidR="004728E9" w:rsidRPr="004728E9" w:rsidRDefault="004728E9" w:rsidP="004728E9">
      <w:pPr>
        <w:suppressAutoHyphens/>
        <w:autoSpaceDN w:val="0"/>
        <w:rPr>
          <w:rFonts w:ascii="Times New Roman" w:eastAsia="Times New Roman" w:hAnsi="Times New Roman" w:cs="Times New Roman"/>
          <w:szCs w:val="24"/>
          <w:lang w:eastAsia="en-GB"/>
        </w:rPr>
      </w:pPr>
    </w:p>
    <w:tbl>
      <w:tblPr>
        <w:tblW w:w="10800" w:type="dxa"/>
        <w:tblInd w:w="-1152" w:type="dxa"/>
        <w:tblCellMar>
          <w:left w:w="10" w:type="dxa"/>
          <w:right w:w="10" w:type="dxa"/>
        </w:tblCellMar>
        <w:tblLook w:val="04A0" w:firstRow="1" w:lastRow="0" w:firstColumn="1" w:lastColumn="0" w:noHBand="0" w:noVBand="1"/>
      </w:tblPr>
      <w:tblGrid>
        <w:gridCol w:w="2572"/>
        <w:gridCol w:w="1420"/>
        <w:gridCol w:w="1420"/>
        <w:gridCol w:w="1420"/>
        <w:gridCol w:w="1421"/>
        <w:gridCol w:w="2547"/>
      </w:tblGrid>
      <w:tr w:rsidR="004728E9" w:rsidRPr="004728E9" w:rsidTr="004728E9">
        <w:tc>
          <w:tcPr>
            <w:tcW w:w="10800"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ascii="Times New Roman" w:eastAsia="Times New Roman" w:hAnsi="Times New Roman" w:cs="Times New Roman"/>
                <w:szCs w:val="24"/>
                <w:lang w:eastAsia="en-GB"/>
              </w:rPr>
            </w:pPr>
            <w:r w:rsidRPr="004728E9">
              <w:rPr>
                <w:rFonts w:eastAsia="Times New Roman" w:cs="Arial"/>
                <w:b/>
                <w:bCs/>
                <w:szCs w:val="24"/>
                <w:lang w:eastAsia="en-GB"/>
              </w:rPr>
              <w:t xml:space="preserve">Complexity Assessment Summary </w:t>
            </w:r>
          </w:p>
          <w:p w:rsidR="004728E9" w:rsidRPr="004728E9" w:rsidRDefault="004728E9" w:rsidP="004728E9">
            <w:pPr>
              <w:suppressAutoHyphens/>
              <w:autoSpaceDN w:val="0"/>
              <w:jc w:val="center"/>
              <w:rPr>
                <w:rFonts w:ascii="Times New Roman" w:eastAsia="Times New Roman" w:hAnsi="Times New Roman" w:cs="Times New Roman"/>
                <w:szCs w:val="24"/>
                <w:lang w:eastAsia="en-GB"/>
              </w:rPr>
            </w:pPr>
            <w:r w:rsidRPr="004728E9">
              <w:rPr>
                <w:rFonts w:eastAsia="Times New Roman" w:cs="Arial"/>
                <w:b/>
                <w:sz w:val="16"/>
                <w:szCs w:val="16"/>
                <w:lang w:eastAsia="en-GB"/>
              </w:rPr>
              <w:t>(Insert  the marks allocated for each of the four (yellow) summary assessments from Table B  above)</w:t>
            </w:r>
          </w:p>
        </w:tc>
      </w:tr>
      <w:tr w:rsidR="004728E9" w:rsidRPr="004728E9" w:rsidTr="004728E9">
        <w:tc>
          <w:tcPr>
            <w:tcW w:w="2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 xml:space="preserve">Complexity Areas </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lang w:eastAsia="en-GB"/>
              </w:rPr>
              <w:t>summary assessments</w:t>
            </w: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VL</w:t>
            </w: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L</w:t>
            </w: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M</w:t>
            </w:r>
          </w:p>
        </w:tc>
        <w:tc>
          <w:tcPr>
            <w:tcW w:w="14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H</w:t>
            </w:r>
          </w:p>
        </w:tc>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VH</w:t>
            </w:r>
          </w:p>
        </w:tc>
      </w:tr>
      <w:tr w:rsidR="004728E9" w:rsidRPr="004728E9" w:rsidTr="004728E9">
        <w:tc>
          <w:tcPr>
            <w:tcW w:w="2572"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lang w:eastAsia="en-GB"/>
              </w:rPr>
              <w:t>Strategic Profile</w:t>
            </w:r>
            <w:r w:rsidRPr="004728E9">
              <w:rPr>
                <w:rFonts w:eastAsia="Times New Roman" w:cs="Arial"/>
                <w:sz w:val="20"/>
                <w:szCs w:val="20"/>
                <w:lang w:eastAsia="en-GB"/>
              </w:rPr>
              <w:t xml:space="preserve"> </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(B1.1 – B1.4)</w:t>
            </w:r>
          </w:p>
        </w:tc>
        <w:tc>
          <w:tcPr>
            <w:tcW w:w="142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32"/>
                <w:szCs w:val="32"/>
                <w:lang w:eastAsia="en-GB"/>
              </w:rPr>
            </w:pPr>
          </w:p>
        </w:tc>
        <w:tc>
          <w:tcPr>
            <w:tcW w:w="142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c>
          <w:tcPr>
            <w:tcW w:w="142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c>
          <w:tcPr>
            <w:tcW w:w="1421"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r w:rsidRPr="004728E9">
              <w:rPr>
                <w:rFonts w:ascii="Times New Roman" w:eastAsia="Times New Roman" w:hAnsi="Times New Roman" w:cs="Times New Roman"/>
                <w:b/>
                <w:szCs w:val="24"/>
                <w:lang w:eastAsia="en-GB"/>
              </w:rPr>
              <w:t>X</w:t>
            </w:r>
          </w:p>
        </w:tc>
        <w:tc>
          <w:tcPr>
            <w:tcW w:w="2547"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r>
      <w:tr w:rsidR="004728E9" w:rsidRPr="004728E9" w:rsidTr="004728E9">
        <w:tc>
          <w:tcPr>
            <w:tcW w:w="2572"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lang w:eastAsia="en-GB"/>
              </w:rPr>
              <w:t>Delivery Challenge</w:t>
            </w:r>
            <w:r w:rsidRPr="004728E9">
              <w:rPr>
                <w:rFonts w:eastAsia="Times New Roman" w:cs="Arial"/>
                <w:sz w:val="20"/>
                <w:szCs w:val="20"/>
                <w:lang w:eastAsia="en-GB"/>
              </w:rPr>
              <w:t xml:space="preserve"> </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(B2.1 – B2.10)</w:t>
            </w:r>
          </w:p>
        </w:tc>
        <w:tc>
          <w:tcPr>
            <w:tcW w:w="142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c>
          <w:tcPr>
            <w:tcW w:w="142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c>
          <w:tcPr>
            <w:tcW w:w="142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r w:rsidRPr="004728E9">
              <w:rPr>
                <w:rFonts w:ascii="Times New Roman" w:eastAsia="Times New Roman" w:hAnsi="Times New Roman" w:cs="Times New Roman"/>
                <w:b/>
                <w:szCs w:val="24"/>
                <w:lang w:eastAsia="en-GB"/>
              </w:rPr>
              <w:t>X</w:t>
            </w:r>
          </w:p>
        </w:tc>
        <w:tc>
          <w:tcPr>
            <w:tcW w:w="1421"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c>
          <w:tcPr>
            <w:tcW w:w="2547"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r>
      <w:tr w:rsidR="004728E9" w:rsidRPr="004728E9" w:rsidTr="004728E9">
        <w:tc>
          <w:tcPr>
            <w:tcW w:w="2572"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Capacity and Capability</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 (B3.1 – B3.4)</w:t>
            </w:r>
          </w:p>
        </w:tc>
        <w:tc>
          <w:tcPr>
            <w:tcW w:w="142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c>
          <w:tcPr>
            <w:tcW w:w="142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r w:rsidRPr="004728E9">
              <w:rPr>
                <w:rFonts w:ascii="Times New Roman" w:eastAsia="Times New Roman" w:hAnsi="Times New Roman" w:cs="Times New Roman"/>
                <w:b/>
                <w:szCs w:val="24"/>
                <w:lang w:eastAsia="en-GB"/>
              </w:rPr>
              <w:t>X</w:t>
            </w:r>
          </w:p>
        </w:tc>
        <w:tc>
          <w:tcPr>
            <w:tcW w:w="142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c>
          <w:tcPr>
            <w:tcW w:w="1421"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c>
          <w:tcPr>
            <w:tcW w:w="2547"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r>
      <w:tr w:rsidR="004728E9" w:rsidRPr="004728E9" w:rsidTr="004728E9">
        <w:tc>
          <w:tcPr>
            <w:tcW w:w="2572"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lang w:eastAsia="en-GB"/>
              </w:rPr>
              <w:t>Scale</w:t>
            </w:r>
            <w:r w:rsidRPr="004728E9">
              <w:rPr>
                <w:rFonts w:eastAsia="Times New Roman" w:cs="Arial"/>
                <w:sz w:val="20"/>
                <w:szCs w:val="20"/>
                <w:lang w:eastAsia="en-GB"/>
              </w:rPr>
              <w:t xml:space="preserve"> </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(B4.1 – B4.4)</w:t>
            </w:r>
          </w:p>
        </w:tc>
        <w:tc>
          <w:tcPr>
            <w:tcW w:w="142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c>
          <w:tcPr>
            <w:tcW w:w="142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c>
          <w:tcPr>
            <w:tcW w:w="1420"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c>
          <w:tcPr>
            <w:tcW w:w="1421"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hideMark/>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r w:rsidRPr="004728E9">
              <w:rPr>
                <w:rFonts w:ascii="Times New Roman" w:eastAsia="Times New Roman" w:hAnsi="Times New Roman" w:cs="Times New Roman"/>
                <w:b/>
                <w:szCs w:val="24"/>
                <w:lang w:eastAsia="en-GB"/>
              </w:rPr>
              <w:t>X</w:t>
            </w:r>
          </w:p>
        </w:tc>
        <w:tc>
          <w:tcPr>
            <w:tcW w:w="2547" w:type="dxa"/>
            <w:tcBorders>
              <w:top w:val="single" w:sz="4" w:space="0" w:color="000000"/>
              <w:left w:val="single" w:sz="4" w:space="0" w:color="000000"/>
              <w:bottom w:val="single" w:sz="4" w:space="0" w:color="000000"/>
              <w:right w:val="single" w:sz="4" w:space="0" w:color="000000"/>
            </w:tcBorders>
            <w:shd w:val="clear" w:color="auto" w:fill="FFFF99"/>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r>
      <w:tr w:rsidR="004728E9" w:rsidRPr="004728E9" w:rsidTr="004728E9">
        <w:tc>
          <w:tcPr>
            <w:tcW w:w="2572"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Cs w:val="24"/>
                <w:lang w:eastAsia="en-GB"/>
              </w:rPr>
            </w:pPr>
            <w:r w:rsidRPr="004728E9">
              <w:rPr>
                <w:rFonts w:eastAsia="Times New Roman" w:cs="Arial"/>
                <w:b/>
                <w:szCs w:val="24"/>
                <w:lang w:eastAsia="en-GB"/>
              </w:rPr>
              <w:t>B5. Overall Complexity Assessment</w:t>
            </w:r>
          </w:p>
        </w:tc>
        <w:tc>
          <w:tcPr>
            <w:tcW w:w="14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c>
          <w:tcPr>
            <w:tcW w:w="14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c>
          <w:tcPr>
            <w:tcW w:w="1420"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c>
          <w:tcPr>
            <w:tcW w:w="1421"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r w:rsidRPr="004728E9">
              <w:rPr>
                <w:rFonts w:ascii="Times New Roman" w:eastAsia="Times New Roman" w:hAnsi="Times New Roman" w:cs="Times New Roman"/>
                <w:b/>
                <w:szCs w:val="24"/>
                <w:lang w:eastAsia="en-GB"/>
              </w:rPr>
              <w:t>X</w:t>
            </w:r>
          </w:p>
        </w:tc>
        <w:tc>
          <w:tcPr>
            <w:tcW w:w="2547" w:type="dxa"/>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tcPr>
          <w:p w:rsidR="004728E9" w:rsidRPr="004728E9" w:rsidRDefault="004728E9" w:rsidP="004728E9">
            <w:pPr>
              <w:suppressAutoHyphens/>
              <w:autoSpaceDN w:val="0"/>
              <w:jc w:val="center"/>
              <w:rPr>
                <w:rFonts w:ascii="Times New Roman" w:eastAsia="Times New Roman" w:hAnsi="Times New Roman" w:cs="Times New Roman"/>
                <w:b/>
                <w:szCs w:val="24"/>
                <w:lang w:eastAsia="en-GB"/>
              </w:rPr>
            </w:pPr>
          </w:p>
        </w:tc>
      </w:tr>
      <w:tr w:rsidR="004728E9" w:rsidRPr="004728E9" w:rsidTr="004728E9">
        <w:tc>
          <w:tcPr>
            <w:tcW w:w="10800" w:type="dxa"/>
            <w:gridSpan w:val="6"/>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tcPr>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u w:val="single"/>
                <w:lang w:eastAsia="en-GB"/>
              </w:rPr>
              <w:t xml:space="preserve">Explanatory Notes </w:t>
            </w:r>
            <w:r w:rsidRPr="004728E9">
              <w:rPr>
                <w:rFonts w:eastAsia="Times New Roman" w:cs="Arial"/>
                <w:b/>
                <w:sz w:val="16"/>
                <w:szCs w:val="16"/>
                <w:lang w:eastAsia="en-GB"/>
              </w:rPr>
              <w:t xml:space="preserve"> (Completion Mandatory)</w:t>
            </w:r>
          </w:p>
          <w:p w:rsidR="004728E9" w:rsidRPr="004728E9" w:rsidRDefault="004728E9" w:rsidP="004728E9">
            <w:pPr>
              <w:suppressAutoHyphens/>
              <w:autoSpaceDN w:val="0"/>
              <w:rPr>
                <w:rFonts w:eastAsia="Times New Roman" w:cs="Arial"/>
                <w:b/>
                <w:sz w:val="20"/>
                <w:szCs w:val="20"/>
                <w:lang w:eastAsia="en-GB"/>
              </w:rPr>
            </w:pPr>
          </w:p>
          <w:p w:rsidR="004728E9" w:rsidRPr="004728E9" w:rsidRDefault="004728E9" w:rsidP="004728E9">
            <w:pPr>
              <w:suppressAutoHyphens/>
              <w:autoSpaceDN w:val="0"/>
              <w:rPr>
                <w:rFonts w:eastAsia="Times New Roman" w:cs="Arial"/>
                <w:b/>
                <w:sz w:val="20"/>
                <w:szCs w:val="20"/>
                <w:lang w:eastAsia="en-GB"/>
              </w:rPr>
            </w:pPr>
          </w:p>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High profile project with political and public interest working within a finite budget and fast timeframe.  Whilst the organisations have capacity to deliver, external factors such as availability of funding are a key constraint which place the project at higher risk.</w:t>
            </w:r>
          </w:p>
          <w:p w:rsidR="004728E9" w:rsidRPr="004728E9" w:rsidRDefault="004728E9" w:rsidP="004728E9">
            <w:pPr>
              <w:suppressAutoHyphens/>
              <w:autoSpaceDN w:val="0"/>
              <w:rPr>
                <w:rFonts w:eastAsia="Times New Roman" w:cs="Arial"/>
                <w:b/>
                <w:sz w:val="20"/>
                <w:szCs w:val="20"/>
                <w:lang w:eastAsia="en-GB"/>
              </w:rPr>
            </w:pPr>
          </w:p>
          <w:p w:rsidR="004728E9" w:rsidRPr="004728E9" w:rsidRDefault="004728E9" w:rsidP="004728E9">
            <w:pPr>
              <w:suppressAutoHyphens/>
              <w:autoSpaceDN w:val="0"/>
              <w:rPr>
                <w:rFonts w:eastAsia="Times New Roman" w:cs="Arial"/>
                <w:b/>
                <w:sz w:val="20"/>
                <w:szCs w:val="20"/>
                <w:lang w:eastAsia="en-GB"/>
              </w:rPr>
            </w:pPr>
          </w:p>
          <w:p w:rsidR="004728E9" w:rsidRPr="004728E9" w:rsidRDefault="004728E9" w:rsidP="004728E9">
            <w:pPr>
              <w:suppressAutoHyphens/>
              <w:autoSpaceDN w:val="0"/>
              <w:rPr>
                <w:rFonts w:eastAsia="Times New Roman" w:cs="Arial"/>
                <w:b/>
                <w:sz w:val="20"/>
                <w:szCs w:val="20"/>
                <w:lang w:eastAsia="en-GB"/>
              </w:rPr>
            </w:pPr>
          </w:p>
          <w:p w:rsidR="004728E9" w:rsidRPr="004728E9" w:rsidRDefault="004728E9" w:rsidP="004728E9">
            <w:pPr>
              <w:suppressAutoHyphens/>
              <w:autoSpaceDN w:val="0"/>
              <w:rPr>
                <w:rFonts w:eastAsia="Times New Roman" w:cs="Arial"/>
                <w:b/>
                <w:sz w:val="20"/>
                <w:szCs w:val="20"/>
                <w:lang w:eastAsia="en-GB"/>
              </w:rPr>
            </w:pPr>
          </w:p>
          <w:p w:rsidR="004728E9" w:rsidRPr="004728E9" w:rsidRDefault="004728E9" w:rsidP="004728E9">
            <w:pPr>
              <w:suppressAutoHyphens/>
              <w:autoSpaceDN w:val="0"/>
              <w:rPr>
                <w:rFonts w:eastAsia="Times New Roman" w:cs="Arial"/>
                <w:b/>
                <w:sz w:val="20"/>
                <w:szCs w:val="20"/>
                <w:lang w:eastAsia="en-GB"/>
              </w:rPr>
            </w:pPr>
          </w:p>
          <w:p w:rsidR="004728E9" w:rsidRPr="004728E9" w:rsidRDefault="004728E9" w:rsidP="004728E9">
            <w:pPr>
              <w:suppressAutoHyphens/>
              <w:autoSpaceDN w:val="0"/>
              <w:rPr>
                <w:rFonts w:eastAsia="Times New Roman" w:cs="Arial"/>
                <w:b/>
                <w:sz w:val="20"/>
                <w:szCs w:val="20"/>
                <w:lang w:eastAsia="en-GB"/>
              </w:rPr>
            </w:pPr>
          </w:p>
          <w:p w:rsidR="004728E9" w:rsidRPr="004728E9" w:rsidRDefault="004728E9" w:rsidP="004728E9">
            <w:pPr>
              <w:suppressAutoHyphens/>
              <w:autoSpaceDN w:val="0"/>
              <w:rPr>
                <w:rFonts w:eastAsia="Times New Roman" w:cs="Arial"/>
                <w:b/>
                <w:sz w:val="20"/>
                <w:szCs w:val="20"/>
                <w:lang w:eastAsia="en-GB"/>
              </w:rPr>
            </w:pPr>
          </w:p>
          <w:p w:rsidR="004728E9" w:rsidRPr="004728E9" w:rsidRDefault="004728E9" w:rsidP="004728E9">
            <w:pPr>
              <w:suppressAutoHyphens/>
              <w:autoSpaceDN w:val="0"/>
              <w:rPr>
                <w:rFonts w:eastAsia="Times New Roman" w:cs="Arial"/>
                <w:b/>
                <w:sz w:val="20"/>
                <w:szCs w:val="20"/>
                <w:lang w:eastAsia="en-GB"/>
              </w:rPr>
            </w:pP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lang w:eastAsia="en-GB"/>
              </w:rPr>
              <w:t>[Note: assessment above to be used on Table C]</w:t>
            </w:r>
          </w:p>
        </w:tc>
      </w:tr>
    </w:tbl>
    <w:p w:rsidR="004728E9" w:rsidRPr="004728E9" w:rsidRDefault="004728E9" w:rsidP="004728E9">
      <w:pPr>
        <w:suppressAutoHyphens/>
        <w:autoSpaceDN w:val="0"/>
        <w:rPr>
          <w:rFonts w:ascii="Times New Roman" w:eastAsia="Times New Roman" w:hAnsi="Times New Roman" w:cs="Times New Roman"/>
          <w:szCs w:val="24"/>
          <w:lang w:eastAsia="en-GB"/>
        </w:rPr>
      </w:pPr>
    </w:p>
    <w:p w:rsidR="004728E9" w:rsidRPr="004728E9" w:rsidRDefault="004728E9" w:rsidP="004728E9">
      <w:pPr>
        <w:pageBreakBefore/>
        <w:suppressAutoHyphens/>
        <w:autoSpaceDN w:val="0"/>
        <w:rPr>
          <w:rFonts w:ascii="Times New Roman" w:eastAsia="Times New Roman" w:hAnsi="Times New Roman" w:cs="Times New Roman"/>
          <w:szCs w:val="24"/>
          <w:lang w:eastAsia="en-GB"/>
        </w:rPr>
      </w:pPr>
    </w:p>
    <w:tbl>
      <w:tblPr>
        <w:tblW w:w="10800" w:type="dxa"/>
        <w:tblInd w:w="-1152" w:type="dxa"/>
        <w:tblCellMar>
          <w:left w:w="10" w:type="dxa"/>
          <w:right w:w="10" w:type="dxa"/>
        </w:tblCellMar>
        <w:tblLook w:val="04A0" w:firstRow="1" w:lastRow="0" w:firstColumn="1" w:lastColumn="0" w:noHBand="0" w:noVBand="1"/>
      </w:tblPr>
      <w:tblGrid>
        <w:gridCol w:w="2342"/>
        <w:gridCol w:w="2753"/>
        <w:gridCol w:w="1039"/>
        <w:gridCol w:w="1059"/>
        <w:gridCol w:w="1123"/>
        <w:gridCol w:w="1253"/>
        <w:gridCol w:w="1231"/>
      </w:tblGrid>
      <w:tr w:rsidR="004728E9" w:rsidRPr="004728E9" w:rsidTr="004728E9">
        <w:tc>
          <w:tcPr>
            <w:tcW w:w="10800"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Table C</w:t>
            </w:r>
          </w:p>
          <w:p w:rsidR="004728E9" w:rsidRPr="004728E9" w:rsidRDefault="004728E9" w:rsidP="004728E9">
            <w:pPr>
              <w:suppressAutoHyphens/>
              <w:autoSpaceDN w:val="0"/>
              <w:jc w:val="center"/>
              <w:rPr>
                <w:rFonts w:eastAsia="Times New Roman" w:cs="Arial"/>
                <w:b/>
                <w:sz w:val="32"/>
                <w:szCs w:val="32"/>
                <w:lang w:eastAsia="en-GB"/>
              </w:rPr>
            </w:pPr>
            <w:r w:rsidRPr="004728E9">
              <w:rPr>
                <w:rFonts w:eastAsia="Times New Roman" w:cs="Arial"/>
                <w:b/>
                <w:sz w:val="32"/>
                <w:szCs w:val="32"/>
                <w:lang w:eastAsia="en-GB"/>
              </w:rPr>
              <w:t xml:space="preserve"> Risk Potential Assessment</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 xml:space="preserve">Plot overall summary assessments from Table A (line A6) and Table B (line B5) and mark with an </w:t>
            </w:r>
            <w:r w:rsidRPr="004728E9">
              <w:rPr>
                <w:rFonts w:eastAsia="Times New Roman" w:cs="Arial"/>
                <w:b/>
                <w:sz w:val="20"/>
                <w:szCs w:val="20"/>
                <w:lang w:eastAsia="en-GB"/>
              </w:rPr>
              <w:t>X</w:t>
            </w:r>
            <w:r w:rsidRPr="004728E9">
              <w:rPr>
                <w:rFonts w:eastAsia="Times New Roman" w:cs="Arial"/>
                <w:sz w:val="20"/>
                <w:szCs w:val="20"/>
                <w:lang w:eastAsia="en-GB"/>
              </w:rPr>
              <w:t xml:space="preserve"> in grid below</w:t>
            </w:r>
          </w:p>
        </w:tc>
      </w:tr>
      <w:tr w:rsidR="004728E9" w:rsidRPr="004728E9" w:rsidTr="004728E9">
        <w:trPr>
          <w:trHeight w:val="757"/>
        </w:trPr>
        <w:tc>
          <w:tcPr>
            <w:tcW w:w="2342" w:type="dxa"/>
            <w:vMerge w:val="restart"/>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Cs w:val="24"/>
                <w:lang w:eastAsia="en-GB"/>
              </w:rPr>
            </w:pPr>
            <w:r w:rsidRPr="004728E9">
              <w:rPr>
                <w:rFonts w:eastAsia="Times New Roman" w:cs="Arial"/>
                <w:b/>
                <w:szCs w:val="24"/>
                <w:lang w:eastAsia="en-GB"/>
              </w:rPr>
              <w:t>Overall Consequential Impact</w:t>
            </w:r>
          </w:p>
          <w:p w:rsidR="004728E9" w:rsidRPr="004728E9" w:rsidRDefault="004728E9" w:rsidP="004728E9">
            <w:pPr>
              <w:suppressAutoHyphens/>
              <w:autoSpaceDN w:val="0"/>
              <w:rPr>
                <w:rFonts w:eastAsia="Times New Roman" w:cs="Arial"/>
                <w:b/>
                <w:szCs w:val="24"/>
                <w:lang w:eastAsia="en-GB"/>
              </w:rPr>
            </w:pPr>
            <w:r w:rsidRPr="004728E9">
              <w:rPr>
                <w:rFonts w:eastAsia="Times New Roman" w:cs="Arial"/>
                <w:b/>
                <w:szCs w:val="24"/>
                <w:lang w:eastAsia="en-GB"/>
              </w:rPr>
              <w:t>Assessment</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Cs w:val="24"/>
                <w:lang w:eastAsia="en-GB"/>
              </w:rPr>
              <w:t>(Table A summary)</w:t>
            </w:r>
          </w:p>
        </w:tc>
        <w:tc>
          <w:tcPr>
            <w:tcW w:w="2753" w:type="dxa"/>
            <w:tcBorders>
              <w:top w:val="single" w:sz="4" w:space="0" w:color="000000"/>
              <w:left w:val="single" w:sz="4" w:space="0" w:color="000000"/>
              <w:bottom w:val="single" w:sz="4" w:space="0" w:color="000000"/>
              <w:right w:val="single" w:sz="2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Cs w:val="24"/>
                <w:lang w:eastAsia="en-GB"/>
              </w:rPr>
            </w:pPr>
            <w:r w:rsidRPr="004728E9">
              <w:rPr>
                <w:rFonts w:eastAsia="Times New Roman" w:cs="Arial"/>
                <w:b/>
                <w:szCs w:val="24"/>
                <w:lang w:eastAsia="en-GB"/>
              </w:rPr>
              <w:t>Very High</w:t>
            </w:r>
          </w:p>
        </w:tc>
        <w:tc>
          <w:tcPr>
            <w:tcW w:w="1039" w:type="dxa"/>
            <w:tcBorders>
              <w:top w:val="single" w:sz="24" w:space="0" w:color="000000"/>
              <w:left w:val="single" w:sz="24" w:space="0" w:color="000000"/>
              <w:bottom w:val="single" w:sz="24" w:space="0" w:color="000000"/>
              <w:right w:val="single" w:sz="4" w:space="0" w:color="000000"/>
            </w:tcBorders>
            <w:shd w:val="clear" w:color="auto" w:fill="FF0000"/>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1059" w:type="dxa"/>
            <w:tcBorders>
              <w:top w:val="single" w:sz="24" w:space="0" w:color="000000"/>
              <w:left w:val="single" w:sz="4" w:space="0" w:color="000000"/>
              <w:bottom w:val="single" w:sz="24" w:space="0" w:color="000000"/>
              <w:right w:val="single" w:sz="4" w:space="0" w:color="000000"/>
            </w:tcBorders>
            <w:shd w:val="clear" w:color="auto" w:fill="FF0000"/>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1123" w:type="dxa"/>
            <w:tcBorders>
              <w:top w:val="single" w:sz="24" w:space="0" w:color="000000"/>
              <w:left w:val="single" w:sz="4" w:space="0" w:color="000000"/>
              <w:bottom w:val="single" w:sz="8" w:space="0" w:color="000000"/>
              <w:right w:val="single" w:sz="4" w:space="0" w:color="000000"/>
            </w:tcBorders>
            <w:shd w:val="clear" w:color="auto" w:fill="FF0000"/>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p>
        </w:tc>
        <w:tc>
          <w:tcPr>
            <w:tcW w:w="1253" w:type="dxa"/>
            <w:tcBorders>
              <w:top w:val="single" w:sz="24" w:space="0" w:color="000000"/>
              <w:left w:val="single" w:sz="4" w:space="0" w:color="000000"/>
              <w:bottom w:val="single" w:sz="8" w:space="0" w:color="000000"/>
              <w:right w:val="single" w:sz="4" w:space="0" w:color="000000"/>
            </w:tcBorders>
            <w:shd w:val="clear" w:color="auto" w:fill="FF0000"/>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High</w:t>
            </w:r>
          </w:p>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Risk</w:t>
            </w:r>
          </w:p>
          <w:p w:rsidR="004728E9" w:rsidRPr="004728E9" w:rsidRDefault="004728E9" w:rsidP="004728E9">
            <w:pPr>
              <w:suppressAutoHyphens/>
              <w:autoSpaceDN w:val="0"/>
              <w:jc w:val="center"/>
              <w:rPr>
                <w:rFonts w:eastAsia="Times New Roman" w:cs="Arial"/>
                <w:b/>
                <w:sz w:val="20"/>
                <w:szCs w:val="20"/>
                <w:lang w:eastAsia="en-GB"/>
              </w:rPr>
            </w:pPr>
          </w:p>
        </w:tc>
        <w:tc>
          <w:tcPr>
            <w:tcW w:w="1231" w:type="dxa"/>
            <w:tcBorders>
              <w:top w:val="single" w:sz="24" w:space="0" w:color="000000"/>
              <w:left w:val="single" w:sz="4" w:space="0" w:color="000000"/>
              <w:bottom w:val="single" w:sz="8" w:space="0" w:color="000000"/>
              <w:right w:val="single" w:sz="24" w:space="0" w:color="000000"/>
            </w:tcBorders>
            <w:shd w:val="clear" w:color="auto" w:fill="FF0000"/>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p w:rsidR="004728E9" w:rsidRPr="004728E9" w:rsidRDefault="004728E9" w:rsidP="004728E9">
            <w:pPr>
              <w:suppressAutoHyphens/>
              <w:autoSpaceDN w:val="0"/>
              <w:jc w:val="center"/>
              <w:rPr>
                <w:rFonts w:eastAsia="Times New Roman" w:cs="Arial"/>
                <w:b/>
                <w:szCs w:val="24"/>
                <w:lang w:eastAsia="en-GB"/>
              </w:rPr>
            </w:pPr>
          </w:p>
        </w:tc>
      </w:tr>
      <w:tr w:rsidR="004728E9" w:rsidRPr="004728E9" w:rsidTr="004728E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728E9" w:rsidRPr="004728E9" w:rsidRDefault="004728E9" w:rsidP="004728E9">
            <w:pPr>
              <w:autoSpaceDN w:val="0"/>
              <w:rPr>
                <w:rFonts w:ascii="Times New Roman" w:eastAsia="Times New Roman" w:hAnsi="Times New Roman" w:cs="Times New Roman"/>
                <w:szCs w:val="24"/>
                <w:lang w:eastAsia="en-GB"/>
              </w:rPr>
            </w:pPr>
          </w:p>
        </w:tc>
        <w:tc>
          <w:tcPr>
            <w:tcW w:w="2753" w:type="dxa"/>
            <w:tcBorders>
              <w:top w:val="single" w:sz="4" w:space="0" w:color="000000"/>
              <w:left w:val="single" w:sz="4" w:space="0" w:color="000000"/>
              <w:bottom w:val="single" w:sz="4" w:space="0" w:color="000000"/>
              <w:right w:val="single" w:sz="2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Cs w:val="24"/>
                <w:lang w:eastAsia="en-GB"/>
              </w:rPr>
            </w:pPr>
            <w:r w:rsidRPr="004728E9">
              <w:rPr>
                <w:rFonts w:eastAsia="Times New Roman" w:cs="Arial"/>
                <w:b/>
                <w:szCs w:val="24"/>
                <w:lang w:eastAsia="en-GB"/>
              </w:rPr>
              <w:t>High</w:t>
            </w:r>
          </w:p>
        </w:tc>
        <w:tc>
          <w:tcPr>
            <w:tcW w:w="1039" w:type="dxa"/>
            <w:tcBorders>
              <w:top w:val="single" w:sz="4" w:space="0" w:color="000000"/>
              <w:left w:val="single" w:sz="24" w:space="0" w:color="000000"/>
              <w:bottom w:val="single" w:sz="4" w:space="0" w:color="000000"/>
              <w:right w:val="single" w:sz="4" w:space="0" w:color="000000"/>
            </w:tcBorders>
            <w:shd w:val="clear" w:color="auto" w:fill="FF9900"/>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Medium Risk</w:t>
            </w:r>
          </w:p>
          <w:p w:rsidR="004728E9" w:rsidRPr="004728E9" w:rsidRDefault="004728E9" w:rsidP="004728E9">
            <w:pPr>
              <w:suppressAutoHyphens/>
              <w:autoSpaceDN w:val="0"/>
              <w:jc w:val="center"/>
              <w:rPr>
                <w:rFonts w:eastAsia="Times New Roman" w:cs="Arial"/>
                <w:b/>
                <w:szCs w:val="24"/>
                <w:lang w:eastAsia="en-GB"/>
              </w:rPr>
            </w:pPr>
          </w:p>
        </w:tc>
        <w:tc>
          <w:tcPr>
            <w:tcW w:w="1059" w:type="dxa"/>
            <w:tcBorders>
              <w:top w:val="single" w:sz="4" w:space="0" w:color="000000"/>
              <w:left w:val="single" w:sz="4" w:space="0" w:color="000000"/>
              <w:bottom w:val="single" w:sz="4" w:space="0" w:color="000000"/>
              <w:right w:val="single" w:sz="24" w:space="0" w:color="000000"/>
            </w:tcBorders>
            <w:shd w:val="clear" w:color="auto" w:fill="FF9900"/>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p w:rsidR="004728E9" w:rsidRPr="004728E9" w:rsidRDefault="004728E9" w:rsidP="004728E9">
            <w:pPr>
              <w:suppressAutoHyphens/>
              <w:autoSpaceDN w:val="0"/>
              <w:jc w:val="center"/>
              <w:rPr>
                <w:rFonts w:eastAsia="Times New Roman" w:cs="Arial"/>
                <w:b/>
                <w:szCs w:val="24"/>
                <w:lang w:eastAsia="en-GB"/>
              </w:rPr>
            </w:pPr>
          </w:p>
        </w:tc>
        <w:tc>
          <w:tcPr>
            <w:tcW w:w="1123" w:type="dxa"/>
            <w:tcBorders>
              <w:top w:val="single" w:sz="8" w:space="0" w:color="000000"/>
              <w:left w:val="single" w:sz="24" w:space="0" w:color="000000"/>
              <w:bottom w:val="single" w:sz="24" w:space="0" w:color="000000"/>
              <w:right w:val="single" w:sz="8" w:space="0" w:color="000000"/>
            </w:tcBorders>
            <w:shd w:val="clear" w:color="auto" w:fill="FF0000"/>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p w:rsidR="004728E9" w:rsidRPr="004728E9" w:rsidRDefault="004728E9" w:rsidP="004728E9">
            <w:pPr>
              <w:suppressAutoHyphens/>
              <w:autoSpaceDN w:val="0"/>
              <w:jc w:val="center"/>
              <w:rPr>
                <w:rFonts w:eastAsia="Times New Roman" w:cs="Arial"/>
                <w:b/>
                <w:szCs w:val="24"/>
                <w:lang w:eastAsia="en-GB"/>
              </w:rPr>
            </w:pPr>
          </w:p>
        </w:tc>
        <w:tc>
          <w:tcPr>
            <w:tcW w:w="1253" w:type="dxa"/>
            <w:tcBorders>
              <w:top w:val="single" w:sz="8" w:space="0" w:color="000000"/>
              <w:left w:val="single" w:sz="8" w:space="0" w:color="000000"/>
              <w:bottom w:val="single" w:sz="24" w:space="0" w:color="000000"/>
              <w:right w:val="single" w:sz="8" w:space="0" w:color="000000"/>
            </w:tcBorders>
            <w:shd w:val="clear" w:color="auto" w:fill="FF0000"/>
            <w:tcMar>
              <w:top w:w="0" w:type="dxa"/>
              <w:left w:w="108" w:type="dxa"/>
              <w:bottom w:w="0" w:type="dxa"/>
              <w:right w:w="108" w:type="dxa"/>
            </w:tcMar>
            <w:hideMark/>
          </w:tcPr>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X</w:t>
            </w:r>
          </w:p>
        </w:tc>
        <w:tc>
          <w:tcPr>
            <w:tcW w:w="1231" w:type="dxa"/>
            <w:tcBorders>
              <w:top w:val="single" w:sz="8" w:space="0" w:color="000000"/>
              <w:left w:val="single" w:sz="8" w:space="0" w:color="000000"/>
              <w:bottom w:val="single" w:sz="8" w:space="0" w:color="000000"/>
              <w:right w:val="single" w:sz="24" w:space="0" w:color="000000"/>
            </w:tcBorders>
            <w:shd w:val="clear" w:color="auto" w:fill="FF0000"/>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r>
      <w:tr w:rsidR="004728E9" w:rsidRPr="004728E9" w:rsidTr="004728E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728E9" w:rsidRPr="004728E9" w:rsidRDefault="004728E9" w:rsidP="004728E9">
            <w:pPr>
              <w:autoSpaceDN w:val="0"/>
              <w:rPr>
                <w:rFonts w:ascii="Times New Roman" w:eastAsia="Times New Roman" w:hAnsi="Times New Roman" w:cs="Times New Roman"/>
                <w:szCs w:val="24"/>
                <w:lang w:eastAsia="en-GB"/>
              </w:rPr>
            </w:pPr>
          </w:p>
        </w:tc>
        <w:tc>
          <w:tcPr>
            <w:tcW w:w="2753" w:type="dxa"/>
            <w:tcBorders>
              <w:top w:val="single" w:sz="4" w:space="0" w:color="000000"/>
              <w:left w:val="single" w:sz="4" w:space="0" w:color="000000"/>
              <w:bottom w:val="single" w:sz="4" w:space="0" w:color="000000"/>
              <w:right w:val="single" w:sz="2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Cs w:val="24"/>
                <w:lang w:eastAsia="en-GB"/>
              </w:rPr>
            </w:pPr>
            <w:r w:rsidRPr="004728E9">
              <w:rPr>
                <w:rFonts w:eastAsia="Times New Roman" w:cs="Arial"/>
                <w:b/>
                <w:szCs w:val="24"/>
                <w:lang w:eastAsia="en-GB"/>
              </w:rPr>
              <w:t>Medium</w:t>
            </w:r>
          </w:p>
        </w:tc>
        <w:tc>
          <w:tcPr>
            <w:tcW w:w="1039" w:type="dxa"/>
            <w:tcBorders>
              <w:top w:val="single" w:sz="4" w:space="0" w:color="000000"/>
              <w:left w:val="single" w:sz="24" w:space="0" w:color="000000"/>
              <w:bottom w:val="single" w:sz="24" w:space="0" w:color="000000"/>
              <w:right w:val="single" w:sz="4" w:space="0" w:color="000000"/>
            </w:tcBorders>
            <w:shd w:val="clear" w:color="auto" w:fill="FF9900"/>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1059" w:type="dxa"/>
            <w:tcBorders>
              <w:top w:val="single" w:sz="4" w:space="0" w:color="000000"/>
              <w:left w:val="single" w:sz="4" w:space="0" w:color="000000"/>
              <w:bottom w:val="single" w:sz="24" w:space="0" w:color="000000"/>
              <w:right w:val="single" w:sz="4" w:space="0" w:color="000000"/>
            </w:tcBorders>
            <w:shd w:val="clear" w:color="auto" w:fill="FF9900"/>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1123" w:type="dxa"/>
            <w:tcBorders>
              <w:top w:val="single" w:sz="24" w:space="0" w:color="000000"/>
              <w:left w:val="single" w:sz="4" w:space="0" w:color="000000"/>
              <w:bottom w:val="single" w:sz="24" w:space="0" w:color="000000"/>
              <w:right w:val="single" w:sz="4" w:space="0" w:color="000000"/>
            </w:tcBorders>
            <w:shd w:val="clear" w:color="auto" w:fill="FF9900"/>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p w:rsidR="004728E9" w:rsidRPr="004728E9" w:rsidRDefault="004728E9" w:rsidP="004728E9">
            <w:pPr>
              <w:suppressAutoHyphens/>
              <w:autoSpaceDN w:val="0"/>
              <w:jc w:val="center"/>
              <w:rPr>
                <w:rFonts w:eastAsia="Times New Roman" w:cs="Arial"/>
                <w:b/>
                <w:szCs w:val="24"/>
                <w:lang w:eastAsia="en-GB"/>
              </w:rPr>
            </w:pPr>
          </w:p>
        </w:tc>
        <w:tc>
          <w:tcPr>
            <w:tcW w:w="1253" w:type="dxa"/>
            <w:tcBorders>
              <w:top w:val="single" w:sz="24" w:space="0" w:color="000000"/>
              <w:left w:val="single" w:sz="4" w:space="0" w:color="000000"/>
              <w:bottom w:val="single" w:sz="4" w:space="0" w:color="000000"/>
              <w:right w:val="single" w:sz="24" w:space="0" w:color="000000"/>
            </w:tcBorders>
            <w:shd w:val="clear" w:color="auto" w:fill="FF9900"/>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p w:rsidR="004728E9" w:rsidRPr="004728E9" w:rsidRDefault="004728E9" w:rsidP="004728E9">
            <w:pPr>
              <w:suppressAutoHyphens/>
              <w:autoSpaceDN w:val="0"/>
              <w:jc w:val="center"/>
              <w:rPr>
                <w:rFonts w:eastAsia="Times New Roman" w:cs="Arial"/>
                <w:b/>
                <w:szCs w:val="24"/>
                <w:lang w:eastAsia="en-GB"/>
              </w:rPr>
            </w:pPr>
          </w:p>
        </w:tc>
        <w:tc>
          <w:tcPr>
            <w:tcW w:w="1231" w:type="dxa"/>
            <w:tcBorders>
              <w:top w:val="single" w:sz="8" w:space="0" w:color="000000"/>
              <w:left w:val="single" w:sz="24" w:space="0" w:color="000000"/>
              <w:bottom w:val="single" w:sz="24" w:space="0" w:color="000000"/>
              <w:right w:val="single" w:sz="24" w:space="0" w:color="000000"/>
            </w:tcBorders>
            <w:shd w:val="clear" w:color="auto" w:fill="FF0000"/>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r>
      <w:tr w:rsidR="004728E9" w:rsidRPr="004728E9" w:rsidTr="004728E9">
        <w:trPr>
          <w:trHeight w:val="58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728E9" w:rsidRPr="004728E9" w:rsidRDefault="004728E9" w:rsidP="004728E9">
            <w:pPr>
              <w:autoSpaceDN w:val="0"/>
              <w:rPr>
                <w:rFonts w:ascii="Times New Roman" w:eastAsia="Times New Roman" w:hAnsi="Times New Roman" w:cs="Times New Roman"/>
                <w:szCs w:val="24"/>
                <w:lang w:eastAsia="en-GB"/>
              </w:rPr>
            </w:pPr>
          </w:p>
        </w:tc>
        <w:tc>
          <w:tcPr>
            <w:tcW w:w="2753" w:type="dxa"/>
            <w:tcBorders>
              <w:top w:val="single" w:sz="4" w:space="0" w:color="000000"/>
              <w:left w:val="single" w:sz="4" w:space="0" w:color="000000"/>
              <w:bottom w:val="single" w:sz="4" w:space="0" w:color="000000"/>
              <w:right w:val="single" w:sz="2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Cs w:val="24"/>
                <w:lang w:eastAsia="en-GB"/>
              </w:rPr>
            </w:pPr>
            <w:r w:rsidRPr="004728E9">
              <w:rPr>
                <w:rFonts w:eastAsia="Times New Roman" w:cs="Arial"/>
                <w:b/>
                <w:szCs w:val="24"/>
                <w:lang w:eastAsia="en-GB"/>
              </w:rPr>
              <w:t>Low</w:t>
            </w:r>
          </w:p>
        </w:tc>
        <w:tc>
          <w:tcPr>
            <w:tcW w:w="1039" w:type="dxa"/>
            <w:tcBorders>
              <w:top w:val="single" w:sz="24" w:space="0" w:color="000000"/>
              <w:left w:val="single" w:sz="24" w:space="0" w:color="000000"/>
              <w:bottom w:val="dashed" w:sz="4" w:space="0" w:color="000000"/>
              <w:right w:val="dashed"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1059" w:type="dxa"/>
            <w:tcBorders>
              <w:top w:val="single" w:sz="24" w:space="0" w:color="000000"/>
              <w:left w:val="dashed" w:sz="4" w:space="0" w:color="000000"/>
              <w:bottom w:val="dashed" w:sz="4" w:space="0" w:color="000000"/>
              <w:right w:val="dashed" w:sz="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1123" w:type="dxa"/>
            <w:tcBorders>
              <w:top w:val="single" w:sz="24" w:space="0" w:color="000000"/>
              <w:left w:val="dashed" w:sz="4" w:space="0" w:color="000000"/>
              <w:bottom w:val="dashed" w:sz="4" w:space="0" w:color="000000"/>
              <w:right w:val="single" w:sz="2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p w:rsidR="004728E9" w:rsidRPr="004728E9" w:rsidRDefault="004728E9" w:rsidP="004728E9">
            <w:pPr>
              <w:suppressAutoHyphens/>
              <w:autoSpaceDN w:val="0"/>
              <w:jc w:val="center"/>
              <w:rPr>
                <w:rFonts w:eastAsia="Times New Roman" w:cs="Arial"/>
                <w:b/>
                <w:szCs w:val="24"/>
                <w:lang w:eastAsia="en-GB"/>
              </w:rPr>
            </w:pPr>
          </w:p>
        </w:tc>
        <w:tc>
          <w:tcPr>
            <w:tcW w:w="1253" w:type="dxa"/>
            <w:tcBorders>
              <w:top w:val="single" w:sz="4" w:space="0" w:color="000000"/>
              <w:left w:val="single" w:sz="24" w:space="0" w:color="000000"/>
              <w:bottom w:val="single" w:sz="24" w:space="0" w:color="000000"/>
              <w:right w:val="single" w:sz="4" w:space="0" w:color="000000"/>
            </w:tcBorders>
            <w:shd w:val="clear" w:color="auto" w:fill="FF9900"/>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1231" w:type="dxa"/>
            <w:tcBorders>
              <w:top w:val="single" w:sz="24" w:space="0" w:color="000000"/>
              <w:left w:val="single" w:sz="4" w:space="0" w:color="000000"/>
              <w:bottom w:val="single" w:sz="24" w:space="0" w:color="000000"/>
              <w:right w:val="single" w:sz="24" w:space="0" w:color="000000"/>
            </w:tcBorders>
            <w:shd w:val="clear" w:color="auto" w:fill="FF9900"/>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r>
      <w:tr w:rsidR="004728E9" w:rsidRPr="004728E9" w:rsidTr="004728E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728E9" w:rsidRPr="004728E9" w:rsidRDefault="004728E9" w:rsidP="004728E9">
            <w:pPr>
              <w:autoSpaceDN w:val="0"/>
              <w:rPr>
                <w:rFonts w:ascii="Times New Roman" w:eastAsia="Times New Roman" w:hAnsi="Times New Roman" w:cs="Times New Roman"/>
                <w:szCs w:val="24"/>
                <w:lang w:eastAsia="en-GB"/>
              </w:rPr>
            </w:pPr>
          </w:p>
        </w:tc>
        <w:tc>
          <w:tcPr>
            <w:tcW w:w="2753" w:type="dxa"/>
            <w:tcBorders>
              <w:top w:val="single" w:sz="4" w:space="0" w:color="000000"/>
              <w:left w:val="single" w:sz="4" w:space="0" w:color="000000"/>
              <w:bottom w:val="single" w:sz="4" w:space="0" w:color="000000"/>
              <w:right w:val="single" w:sz="2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Cs w:val="24"/>
                <w:lang w:eastAsia="en-GB"/>
              </w:rPr>
            </w:pPr>
            <w:r w:rsidRPr="004728E9">
              <w:rPr>
                <w:rFonts w:eastAsia="Times New Roman" w:cs="Arial"/>
                <w:b/>
                <w:szCs w:val="24"/>
                <w:lang w:eastAsia="en-GB"/>
              </w:rPr>
              <w:t>Very Low</w:t>
            </w:r>
          </w:p>
        </w:tc>
        <w:tc>
          <w:tcPr>
            <w:tcW w:w="1039" w:type="dxa"/>
            <w:tcBorders>
              <w:top w:val="dashed" w:sz="4" w:space="0" w:color="000000"/>
              <w:left w:val="single" w:sz="24" w:space="0" w:color="000000"/>
              <w:bottom w:val="single" w:sz="24" w:space="0" w:color="000000"/>
              <w:right w:val="nil"/>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1059" w:type="dxa"/>
            <w:tcBorders>
              <w:top w:val="dashed" w:sz="4" w:space="0" w:color="000000"/>
              <w:left w:val="nil"/>
              <w:bottom w:val="single" w:sz="24" w:space="0" w:color="000000"/>
              <w:right w:val="nil"/>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c>
          <w:tcPr>
            <w:tcW w:w="1123" w:type="dxa"/>
            <w:tcBorders>
              <w:top w:val="dashed" w:sz="4" w:space="0" w:color="000000"/>
              <w:left w:val="nil"/>
              <w:bottom w:val="single" w:sz="24" w:space="0" w:color="000000"/>
              <w:right w:val="nil"/>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 w:val="20"/>
                <w:szCs w:val="20"/>
                <w:lang w:eastAsia="en-GB"/>
              </w:rPr>
            </w:pPr>
            <w:r w:rsidRPr="004728E9">
              <w:rPr>
                <w:rFonts w:eastAsia="Times New Roman" w:cs="Arial"/>
                <w:b/>
                <w:sz w:val="20"/>
                <w:szCs w:val="20"/>
                <w:lang w:eastAsia="en-GB"/>
              </w:rPr>
              <w:t>Low Risk</w:t>
            </w:r>
          </w:p>
          <w:p w:rsidR="004728E9" w:rsidRPr="004728E9" w:rsidRDefault="004728E9" w:rsidP="004728E9">
            <w:pPr>
              <w:suppressAutoHyphens/>
              <w:autoSpaceDN w:val="0"/>
              <w:jc w:val="center"/>
              <w:rPr>
                <w:rFonts w:eastAsia="Times New Roman" w:cs="Arial"/>
                <w:b/>
                <w:sz w:val="20"/>
                <w:szCs w:val="20"/>
                <w:lang w:eastAsia="en-GB"/>
              </w:rPr>
            </w:pPr>
          </w:p>
        </w:tc>
        <w:tc>
          <w:tcPr>
            <w:tcW w:w="1253" w:type="dxa"/>
            <w:tcBorders>
              <w:top w:val="single" w:sz="24" w:space="0" w:color="000000"/>
              <w:left w:val="nil"/>
              <w:bottom w:val="single" w:sz="24" w:space="0" w:color="000000"/>
              <w:right w:val="nil"/>
            </w:tcBorders>
            <w:tcMar>
              <w:top w:w="0" w:type="dxa"/>
              <w:left w:w="108" w:type="dxa"/>
              <w:bottom w:w="0" w:type="dxa"/>
              <w:right w:w="108" w:type="dxa"/>
            </w:tcMar>
          </w:tcPr>
          <w:p w:rsidR="004728E9" w:rsidRPr="004728E9" w:rsidRDefault="004728E9" w:rsidP="004728E9">
            <w:pPr>
              <w:suppressAutoHyphens/>
              <w:autoSpaceDN w:val="0"/>
              <w:rPr>
                <w:rFonts w:eastAsia="Times New Roman" w:cs="Arial"/>
                <w:b/>
                <w:sz w:val="20"/>
                <w:szCs w:val="20"/>
                <w:lang w:eastAsia="en-GB"/>
              </w:rPr>
            </w:pPr>
          </w:p>
        </w:tc>
        <w:tc>
          <w:tcPr>
            <w:tcW w:w="1231" w:type="dxa"/>
            <w:tcBorders>
              <w:top w:val="single" w:sz="24" w:space="0" w:color="000000"/>
              <w:left w:val="nil"/>
              <w:bottom w:val="single" w:sz="24" w:space="0" w:color="000000"/>
              <w:right w:val="single" w:sz="24" w:space="0" w:color="000000"/>
            </w:tcBorders>
            <w:tcMar>
              <w:top w:w="0" w:type="dxa"/>
              <w:left w:w="108" w:type="dxa"/>
              <w:bottom w:w="0" w:type="dxa"/>
              <w:right w:w="108" w:type="dxa"/>
            </w:tcMar>
          </w:tcPr>
          <w:p w:rsidR="004728E9" w:rsidRPr="004728E9" w:rsidRDefault="004728E9" w:rsidP="004728E9">
            <w:pPr>
              <w:suppressAutoHyphens/>
              <w:autoSpaceDN w:val="0"/>
              <w:jc w:val="center"/>
              <w:rPr>
                <w:rFonts w:eastAsia="Times New Roman" w:cs="Arial"/>
                <w:b/>
                <w:szCs w:val="24"/>
                <w:lang w:eastAsia="en-GB"/>
              </w:rPr>
            </w:pPr>
          </w:p>
        </w:tc>
      </w:tr>
      <w:tr w:rsidR="004728E9" w:rsidRPr="004728E9" w:rsidTr="004728E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728E9" w:rsidRPr="004728E9" w:rsidRDefault="004728E9" w:rsidP="004728E9">
            <w:pPr>
              <w:autoSpaceDN w:val="0"/>
              <w:rPr>
                <w:rFonts w:ascii="Times New Roman" w:eastAsia="Times New Roman" w:hAnsi="Times New Roman" w:cs="Times New Roman"/>
                <w:szCs w:val="24"/>
                <w:lang w:eastAsia="en-GB"/>
              </w:rPr>
            </w:pPr>
          </w:p>
        </w:tc>
        <w:tc>
          <w:tcPr>
            <w:tcW w:w="2753" w:type="dxa"/>
            <w:tcBorders>
              <w:top w:val="single" w:sz="4" w:space="0" w:color="000000"/>
              <w:left w:val="single" w:sz="4" w:space="0" w:color="000000"/>
              <w:bottom w:val="single" w:sz="4" w:space="0" w:color="000000"/>
              <w:right w:val="single" w:sz="4" w:space="0" w:color="000000"/>
            </w:tcBorders>
            <w:shd w:val="clear" w:color="auto" w:fill="C0C0C0"/>
            <w:tcMar>
              <w:top w:w="0" w:type="dxa"/>
              <w:left w:w="108" w:type="dxa"/>
              <w:bottom w:w="0" w:type="dxa"/>
              <w:right w:w="108" w:type="dxa"/>
            </w:tcMar>
          </w:tcPr>
          <w:p w:rsidR="004728E9" w:rsidRPr="004728E9" w:rsidRDefault="004728E9" w:rsidP="004728E9">
            <w:pPr>
              <w:suppressAutoHyphens/>
              <w:autoSpaceDN w:val="0"/>
              <w:rPr>
                <w:rFonts w:ascii="Times New Roman" w:eastAsia="Times New Roman" w:hAnsi="Times New Roman" w:cs="Times New Roman"/>
                <w:szCs w:val="24"/>
                <w:lang w:eastAsia="en-GB"/>
              </w:rPr>
            </w:pPr>
          </w:p>
        </w:tc>
        <w:tc>
          <w:tcPr>
            <w:tcW w:w="1039" w:type="dxa"/>
            <w:tcBorders>
              <w:top w:val="single" w:sz="2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Cs w:val="24"/>
                <w:lang w:eastAsia="en-GB"/>
              </w:rPr>
            </w:pPr>
            <w:r w:rsidRPr="004728E9">
              <w:rPr>
                <w:rFonts w:eastAsia="Times New Roman" w:cs="Arial"/>
                <w:b/>
                <w:szCs w:val="24"/>
                <w:lang w:eastAsia="en-GB"/>
              </w:rPr>
              <w:t>Very Low</w:t>
            </w:r>
          </w:p>
        </w:tc>
        <w:tc>
          <w:tcPr>
            <w:tcW w:w="1059" w:type="dxa"/>
            <w:tcBorders>
              <w:top w:val="single" w:sz="2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Cs w:val="24"/>
                <w:lang w:eastAsia="en-GB"/>
              </w:rPr>
            </w:pPr>
            <w:r w:rsidRPr="004728E9">
              <w:rPr>
                <w:rFonts w:eastAsia="Times New Roman" w:cs="Arial"/>
                <w:b/>
                <w:szCs w:val="24"/>
                <w:lang w:eastAsia="en-GB"/>
              </w:rPr>
              <w:t xml:space="preserve">   Low</w:t>
            </w:r>
          </w:p>
        </w:tc>
        <w:tc>
          <w:tcPr>
            <w:tcW w:w="1123" w:type="dxa"/>
            <w:tcBorders>
              <w:top w:val="single" w:sz="2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Cs w:val="24"/>
                <w:lang w:eastAsia="en-GB"/>
              </w:rPr>
            </w:pPr>
            <w:r w:rsidRPr="004728E9">
              <w:rPr>
                <w:rFonts w:eastAsia="Times New Roman" w:cs="Arial"/>
                <w:b/>
                <w:szCs w:val="24"/>
                <w:lang w:eastAsia="en-GB"/>
              </w:rPr>
              <w:t>Medium</w:t>
            </w:r>
          </w:p>
        </w:tc>
        <w:tc>
          <w:tcPr>
            <w:tcW w:w="1253" w:type="dxa"/>
            <w:tcBorders>
              <w:top w:val="single" w:sz="2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Cs w:val="24"/>
                <w:lang w:eastAsia="en-GB"/>
              </w:rPr>
            </w:pPr>
            <w:r w:rsidRPr="004728E9">
              <w:rPr>
                <w:rFonts w:eastAsia="Times New Roman" w:cs="Arial"/>
                <w:b/>
                <w:szCs w:val="24"/>
                <w:lang w:eastAsia="en-GB"/>
              </w:rPr>
              <w:t xml:space="preserve">     High</w:t>
            </w:r>
          </w:p>
        </w:tc>
        <w:tc>
          <w:tcPr>
            <w:tcW w:w="1231" w:type="dxa"/>
            <w:tcBorders>
              <w:top w:val="single" w:sz="2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728E9" w:rsidRPr="004728E9" w:rsidRDefault="004728E9" w:rsidP="004728E9">
            <w:pPr>
              <w:suppressAutoHyphens/>
              <w:autoSpaceDN w:val="0"/>
              <w:rPr>
                <w:rFonts w:eastAsia="Times New Roman" w:cs="Arial"/>
                <w:b/>
                <w:szCs w:val="24"/>
                <w:lang w:eastAsia="en-GB"/>
              </w:rPr>
            </w:pPr>
            <w:r w:rsidRPr="004728E9">
              <w:rPr>
                <w:rFonts w:eastAsia="Times New Roman" w:cs="Arial"/>
                <w:b/>
                <w:szCs w:val="24"/>
                <w:lang w:eastAsia="en-GB"/>
              </w:rPr>
              <w:t>Very High</w:t>
            </w:r>
          </w:p>
        </w:tc>
      </w:tr>
      <w:tr w:rsidR="004728E9" w:rsidRPr="004728E9" w:rsidTr="004728E9">
        <w:tc>
          <w:tcPr>
            <w:tcW w:w="10800" w:type="dxa"/>
            <w:gridSpan w:val="7"/>
            <w:tcBorders>
              <w:top w:val="single" w:sz="4" w:space="0" w:color="000000"/>
              <w:left w:val="single" w:sz="4" w:space="0" w:color="000000"/>
              <w:bottom w:val="single" w:sz="4" w:space="0" w:color="000000"/>
              <w:right w:val="single" w:sz="4" w:space="0" w:color="000000"/>
            </w:tcBorders>
            <w:shd w:val="clear" w:color="auto" w:fill="CCFFCC"/>
            <w:tcMar>
              <w:top w:w="0" w:type="dxa"/>
              <w:left w:w="108" w:type="dxa"/>
              <w:bottom w:w="0" w:type="dxa"/>
              <w:right w:w="108" w:type="dxa"/>
            </w:tcMar>
            <w:hideMark/>
          </w:tcPr>
          <w:p w:rsidR="004728E9" w:rsidRPr="004728E9" w:rsidRDefault="004728E9" w:rsidP="004728E9">
            <w:pPr>
              <w:suppressAutoHyphens/>
              <w:autoSpaceDN w:val="0"/>
              <w:jc w:val="center"/>
              <w:rPr>
                <w:rFonts w:ascii="Times New Roman" w:eastAsia="Times New Roman" w:hAnsi="Times New Roman" w:cs="Times New Roman"/>
                <w:szCs w:val="24"/>
                <w:lang w:eastAsia="en-GB"/>
              </w:rPr>
            </w:pPr>
            <w:r w:rsidRPr="004728E9">
              <w:rPr>
                <w:rFonts w:eastAsia="Times New Roman" w:cs="Arial"/>
                <w:b/>
                <w:bCs/>
                <w:szCs w:val="24"/>
                <w:lang w:eastAsia="en-GB"/>
              </w:rPr>
              <w:t>Overall</w:t>
            </w:r>
            <w:r w:rsidRPr="004728E9">
              <w:rPr>
                <w:rFonts w:eastAsia="Times New Roman" w:cs="Arial"/>
                <w:b/>
                <w:bCs/>
                <w:sz w:val="20"/>
                <w:szCs w:val="20"/>
                <w:lang w:eastAsia="en-GB"/>
              </w:rPr>
              <w:t xml:space="preserve"> </w:t>
            </w:r>
            <w:r w:rsidRPr="004728E9">
              <w:rPr>
                <w:rFonts w:eastAsia="Times New Roman" w:cs="Arial"/>
                <w:b/>
                <w:bCs/>
                <w:szCs w:val="24"/>
                <w:lang w:eastAsia="en-GB"/>
              </w:rPr>
              <w:t xml:space="preserve">Complexity </w:t>
            </w:r>
            <w:r w:rsidRPr="004728E9">
              <w:rPr>
                <w:rFonts w:eastAsia="Times New Roman" w:cs="Arial"/>
                <w:b/>
                <w:szCs w:val="24"/>
                <w:lang w:eastAsia="en-GB"/>
              </w:rPr>
              <w:t>Assessment</w:t>
            </w:r>
          </w:p>
          <w:p w:rsidR="004728E9" w:rsidRPr="004728E9" w:rsidRDefault="004728E9" w:rsidP="004728E9">
            <w:pPr>
              <w:suppressAutoHyphens/>
              <w:autoSpaceDN w:val="0"/>
              <w:jc w:val="center"/>
              <w:rPr>
                <w:rFonts w:eastAsia="Times New Roman" w:cs="Arial"/>
                <w:b/>
                <w:szCs w:val="24"/>
                <w:lang w:eastAsia="en-GB"/>
              </w:rPr>
            </w:pPr>
            <w:r w:rsidRPr="004728E9">
              <w:rPr>
                <w:rFonts w:eastAsia="Times New Roman" w:cs="Arial"/>
                <w:b/>
                <w:szCs w:val="24"/>
                <w:lang w:eastAsia="en-GB"/>
              </w:rPr>
              <w:t>(Table B summary)</w:t>
            </w:r>
          </w:p>
        </w:tc>
      </w:tr>
      <w:tr w:rsidR="004728E9" w:rsidRPr="004728E9" w:rsidTr="004728E9">
        <w:tc>
          <w:tcPr>
            <w:tcW w:w="10800"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rPr>
                <w:rFonts w:eastAsia="Times New Roman" w:cs="Arial"/>
                <w:b/>
                <w:sz w:val="20"/>
                <w:szCs w:val="20"/>
                <w:lang w:eastAsia="en-GB"/>
              </w:rPr>
            </w:pPr>
          </w:p>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Now transfer the Risk Potential Assessment score from Table C to Box 14 on the cover sheet of this form.</w:t>
            </w:r>
          </w:p>
          <w:p w:rsidR="004728E9" w:rsidRPr="004728E9" w:rsidRDefault="004728E9" w:rsidP="004728E9">
            <w:pPr>
              <w:suppressAutoHyphens/>
              <w:autoSpaceDN w:val="0"/>
              <w:rPr>
                <w:rFonts w:eastAsia="Times New Roman" w:cs="Arial"/>
                <w:b/>
                <w:sz w:val="20"/>
                <w:szCs w:val="20"/>
                <w:lang w:eastAsia="en-GB"/>
              </w:rPr>
            </w:pPr>
          </w:p>
        </w:tc>
      </w:tr>
      <w:tr w:rsidR="004728E9" w:rsidRPr="004728E9" w:rsidTr="004728E9">
        <w:tc>
          <w:tcPr>
            <w:tcW w:w="10800"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728E9" w:rsidRPr="004728E9" w:rsidRDefault="004728E9" w:rsidP="004728E9">
            <w:pPr>
              <w:suppressAutoHyphens/>
              <w:autoSpaceDN w:val="0"/>
              <w:rPr>
                <w:rFonts w:eastAsia="Times New Roman" w:cs="Arial"/>
                <w:b/>
                <w:sz w:val="20"/>
                <w:szCs w:val="20"/>
                <w:lang w:eastAsia="en-GB"/>
              </w:rPr>
            </w:pPr>
          </w:p>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 xml:space="preserve">Please send the fully completed and approved RPA to your Departmental Assurance Coordinator (or equivalent), who will pass it on to your organisation’s Portfolio Manager (or equivalent) for validation. </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Who arranges the review?</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In central government the “arrange and manage” process for Project Validation Reviews, OGC Gateway™ and Project Assessment Reviews is generally as follows: </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Major Projects &amp; High Risk Assurance Reviews: By the IPA</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Medium Risk Assurance Reviews:                       By Departments, under delegation from the IPA</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Low Risk Assurance Reviews:                             By Departments, usually through consultation with their DAC/Centre of</w:t>
            </w:r>
          </w:p>
          <w:p w:rsidR="004728E9" w:rsidRPr="004728E9" w:rsidRDefault="004728E9" w:rsidP="004728E9">
            <w:pPr>
              <w:suppressAutoHyphens/>
              <w:autoSpaceDN w:val="0"/>
              <w:rPr>
                <w:rFonts w:eastAsia="Times New Roman" w:cs="Arial"/>
                <w:sz w:val="20"/>
                <w:szCs w:val="20"/>
                <w:lang w:eastAsia="en-GB"/>
              </w:rPr>
            </w:pPr>
            <w:r w:rsidRPr="004728E9">
              <w:rPr>
                <w:rFonts w:eastAsia="Times New Roman" w:cs="Arial"/>
                <w:sz w:val="20"/>
                <w:szCs w:val="20"/>
                <w:lang w:eastAsia="en-GB"/>
              </w:rPr>
              <w:t xml:space="preserve">                                                                             Excellence (or equivalent). </w:t>
            </w:r>
          </w:p>
          <w:p w:rsidR="004728E9" w:rsidRPr="004728E9" w:rsidRDefault="004728E9" w:rsidP="004728E9">
            <w:pPr>
              <w:suppressAutoHyphens/>
              <w:autoSpaceDN w:val="0"/>
              <w:rPr>
                <w:rFonts w:eastAsia="Times New Roman" w:cs="Arial"/>
                <w:b/>
                <w:sz w:val="20"/>
                <w:szCs w:val="20"/>
                <w:lang w:eastAsia="en-GB"/>
              </w:rPr>
            </w:pP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
                <w:sz w:val="20"/>
                <w:szCs w:val="20"/>
                <w:lang w:eastAsia="en-GB"/>
              </w:rPr>
              <w:t>All RPAs indicating a requirement for Medium or High Risk reviews will be checked at the Assessment meeting.</w:t>
            </w:r>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b/>
                <w:bCs/>
                <w:sz w:val="20"/>
                <w:szCs w:val="20"/>
                <w:lang w:eastAsia="en-GB"/>
              </w:rPr>
            </w:pPr>
            <w:r w:rsidRPr="004728E9">
              <w:rPr>
                <w:rFonts w:eastAsia="Times New Roman" w:cs="Arial"/>
                <w:b/>
                <w:bCs/>
                <w:sz w:val="20"/>
                <w:szCs w:val="20"/>
                <w:lang w:eastAsia="en-GB"/>
              </w:rPr>
              <w:t>Scheduling and lead time:</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bCs/>
                <w:sz w:val="20"/>
                <w:szCs w:val="20"/>
                <w:lang w:eastAsia="en-GB"/>
              </w:rPr>
              <w:t xml:space="preserve">When planning an assurance review, please assume 12 weeks </w:t>
            </w:r>
            <w:r w:rsidRPr="004728E9">
              <w:rPr>
                <w:rFonts w:eastAsia="Times New Roman" w:cs="Arial"/>
                <w:b/>
                <w:bCs/>
                <w:sz w:val="20"/>
                <w:szCs w:val="20"/>
                <w:lang w:eastAsia="en-GB"/>
              </w:rPr>
              <w:t>from the date of the Assessment meeting</w:t>
            </w:r>
            <w:r w:rsidRPr="004728E9">
              <w:rPr>
                <w:rFonts w:eastAsia="Times New Roman" w:cs="Arial"/>
                <w:bCs/>
                <w:sz w:val="20"/>
                <w:szCs w:val="20"/>
                <w:lang w:eastAsia="en-GB"/>
              </w:rPr>
              <w:t xml:space="preserve"> to the start of the review, </w:t>
            </w:r>
            <w:r w:rsidRPr="004728E9">
              <w:rPr>
                <w:rFonts w:eastAsia="Times New Roman" w:cs="Arial"/>
                <w:b/>
                <w:bCs/>
                <w:sz w:val="20"/>
                <w:szCs w:val="20"/>
                <w:lang w:eastAsia="en-GB"/>
              </w:rPr>
              <w:t>not from the date when the RPA was submitted</w:t>
            </w:r>
            <w:r w:rsidRPr="004728E9">
              <w:rPr>
                <w:rFonts w:eastAsia="Times New Roman" w:cs="Arial"/>
                <w:bCs/>
                <w:sz w:val="20"/>
                <w:szCs w:val="20"/>
                <w:lang w:eastAsia="en-GB"/>
              </w:rPr>
              <w:t>.</w:t>
            </w:r>
          </w:p>
          <w:p w:rsidR="004728E9" w:rsidRPr="004728E9" w:rsidRDefault="004728E9" w:rsidP="004728E9">
            <w:pPr>
              <w:suppressAutoHyphens/>
              <w:autoSpaceDN w:val="0"/>
              <w:rPr>
                <w:rFonts w:eastAsia="Times New Roman" w:cs="Arial"/>
                <w:b/>
                <w:bCs/>
                <w:sz w:val="20"/>
                <w:szCs w:val="20"/>
                <w:lang w:eastAsia="en-GB"/>
              </w:rPr>
            </w:pPr>
          </w:p>
          <w:p w:rsidR="004728E9" w:rsidRPr="004728E9" w:rsidRDefault="004728E9" w:rsidP="004728E9">
            <w:pPr>
              <w:suppressAutoHyphens/>
              <w:autoSpaceDN w:val="0"/>
              <w:rPr>
                <w:rFonts w:eastAsia="Times New Roman" w:cs="Arial"/>
                <w:b/>
                <w:bCs/>
                <w:sz w:val="20"/>
                <w:szCs w:val="20"/>
                <w:lang w:eastAsia="en-GB"/>
              </w:rPr>
            </w:pPr>
            <w:r w:rsidRPr="004728E9">
              <w:rPr>
                <w:rFonts w:eastAsia="Times New Roman" w:cs="Arial"/>
                <w:b/>
                <w:bCs/>
                <w:sz w:val="20"/>
                <w:szCs w:val="20"/>
                <w:lang w:eastAsia="en-GB"/>
              </w:rPr>
              <w:t xml:space="preserve">PLEASE NOTE: It may not be possible for the IPA to arrange a review at short notice as reviewers’ availability may be limited. </w:t>
            </w:r>
          </w:p>
          <w:p w:rsidR="004728E9" w:rsidRPr="004728E9" w:rsidRDefault="004728E9" w:rsidP="004728E9">
            <w:pPr>
              <w:suppressAutoHyphens/>
              <w:autoSpaceDN w:val="0"/>
              <w:rPr>
                <w:rFonts w:eastAsia="Times New Roman" w:cs="Arial"/>
                <w:b/>
                <w:bCs/>
                <w:sz w:val="20"/>
                <w:szCs w:val="20"/>
                <w:lang w:eastAsia="en-GB"/>
              </w:rPr>
            </w:pPr>
          </w:p>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 xml:space="preserve">Failure to provide sufficient information in this RPA may delay the timing of your assurance review. </w:t>
            </w:r>
          </w:p>
          <w:p w:rsidR="004728E9" w:rsidRPr="004728E9" w:rsidRDefault="004728E9" w:rsidP="004728E9">
            <w:pPr>
              <w:suppressAutoHyphens/>
              <w:autoSpaceDN w:val="0"/>
              <w:rPr>
                <w:rFonts w:eastAsia="Times New Roman" w:cs="Arial"/>
                <w:bCs/>
                <w:sz w:val="20"/>
                <w:szCs w:val="20"/>
                <w:lang w:eastAsia="en-GB"/>
              </w:rPr>
            </w:pPr>
          </w:p>
          <w:p w:rsidR="004728E9" w:rsidRPr="004728E9" w:rsidRDefault="004728E9" w:rsidP="004728E9">
            <w:pPr>
              <w:suppressAutoHyphens/>
              <w:autoSpaceDN w:val="0"/>
              <w:rPr>
                <w:rFonts w:eastAsia="Times New Roman" w:cs="Arial"/>
                <w:b/>
                <w:sz w:val="20"/>
                <w:szCs w:val="20"/>
                <w:lang w:eastAsia="en-GB"/>
              </w:rPr>
            </w:pPr>
            <w:r w:rsidRPr="004728E9">
              <w:rPr>
                <w:rFonts w:eastAsia="Times New Roman" w:cs="Arial"/>
                <w:b/>
                <w:sz w:val="20"/>
                <w:szCs w:val="20"/>
                <w:lang w:eastAsia="en-GB"/>
              </w:rPr>
              <w:t xml:space="preserve">DAC submission of RPA: </w:t>
            </w:r>
          </w:p>
          <w:p w:rsidR="004728E9" w:rsidRPr="004728E9" w:rsidRDefault="004728E9" w:rsidP="004728E9">
            <w:pPr>
              <w:suppressAutoHyphens/>
              <w:autoSpaceDN w:val="0"/>
              <w:rPr>
                <w:rFonts w:ascii="Times New Roman" w:eastAsia="Times New Roman" w:hAnsi="Times New Roman" w:cs="Times New Roman"/>
                <w:szCs w:val="24"/>
                <w:lang w:eastAsia="en-GB"/>
              </w:rPr>
            </w:pPr>
            <w:r w:rsidRPr="004728E9">
              <w:rPr>
                <w:rFonts w:eastAsia="Times New Roman" w:cs="Arial"/>
                <w:sz w:val="20"/>
                <w:szCs w:val="20"/>
                <w:lang w:eastAsia="en-GB"/>
              </w:rPr>
              <w:t xml:space="preserve">Please delete the user guidance pages, and ensure the security classification is correct, before sending the completed RPA to </w:t>
            </w:r>
            <w:hyperlink r:id="rId31" w:history="1">
              <w:r w:rsidRPr="004728E9">
                <w:rPr>
                  <w:rFonts w:eastAsia="Times New Roman" w:cs="Arial"/>
                  <w:color w:val="0000FF"/>
                  <w:sz w:val="20"/>
                  <w:szCs w:val="20"/>
                  <w:u w:val="single"/>
                  <w:lang w:eastAsia="en-GB"/>
                </w:rPr>
                <w:t>gateway.helpdesk@ipa.gov.uk</w:t>
              </w:r>
            </w:hyperlink>
          </w:p>
          <w:p w:rsidR="004728E9" w:rsidRPr="004728E9" w:rsidRDefault="004728E9" w:rsidP="004728E9">
            <w:pPr>
              <w:suppressAutoHyphens/>
              <w:autoSpaceDN w:val="0"/>
              <w:rPr>
                <w:rFonts w:eastAsia="Times New Roman" w:cs="Arial"/>
                <w:sz w:val="20"/>
                <w:szCs w:val="20"/>
                <w:lang w:eastAsia="en-GB"/>
              </w:rPr>
            </w:pPr>
          </w:p>
          <w:p w:rsidR="004728E9" w:rsidRPr="004728E9" w:rsidRDefault="004728E9" w:rsidP="004728E9">
            <w:pPr>
              <w:suppressAutoHyphens/>
              <w:autoSpaceDN w:val="0"/>
              <w:rPr>
                <w:rFonts w:eastAsia="Times New Roman" w:cs="Arial"/>
                <w:bCs/>
                <w:sz w:val="20"/>
                <w:szCs w:val="20"/>
                <w:lang w:eastAsia="en-GB"/>
              </w:rPr>
            </w:pPr>
          </w:p>
        </w:tc>
      </w:tr>
    </w:tbl>
    <w:p w:rsidR="004728E9" w:rsidRPr="004728E9" w:rsidRDefault="004728E9" w:rsidP="004728E9">
      <w:pPr>
        <w:keepNext/>
        <w:pageBreakBefore/>
        <w:suppressAutoHyphens/>
        <w:autoSpaceDN w:val="0"/>
        <w:outlineLvl w:val="1"/>
        <w:rPr>
          <w:rFonts w:ascii="Times New Roman" w:eastAsia="Times New Roman" w:hAnsi="Times New Roman" w:cs="Times New Roman"/>
          <w:szCs w:val="24"/>
          <w:lang w:eastAsia="en-GB"/>
        </w:rPr>
      </w:pPr>
    </w:p>
    <w:p w:rsidR="004728E9" w:rsidRPr="004728E9" w:rsidRDefault="004728E9" w:rsidP="004728E9">
      <w:pPr>
        <w:keepNext/>
        <w:suppressAutoHyphens/>
        <w:autoSpaceDN w:val="0"/>
        <w:ind w:left="-567"/>
        <w:outlineLvl w:val="1"/>
        <w:rPr>
          <w:rFonts w:ascii="Times New Roman" w:eastAsia="Times New Roman" w:hAnsi="Times New Roman" w:cs="Times New Roman"/>
          <w:szCs w:val="24"/>
          <w:lang w:eastAsia="en-GB"/>
        </w:rPr>
      </w:pPr>
    </w:p>
    <w:p w:rsidR="004728E9" w:rsidRPr="004728E9" w:rsidRDefault="004728E9" w:rsidP="004728E9">
      <w:pPr>
        <w:suppressAutoHyphens/>
        <w:autoSpaceDE w:val="0"/>
        <w:autoSpaceDN w:val="0"/>
        <w:ind w:left="-1134"/>
        <w:rPr>
          <w:rFonts w:eastAsia="Times New Roman" w:cs="Arial"/>
          <w:iCs/>
          <w:color w:val="000000"/>
          <w:sz w:val="20"/>
          <w:szCs w:val="20"/>
          <w:lang w:eastAsia="en-GB"/>
        </w:rPr>
      </w:pPr>
      <w:r w:rsidRPr="004728E9">
        <w:rPr>
          <w:rFonts w:eastAsia="Times New Roman" w:cs="Arial"/>
          <w:iCs/>
          <w:color w:val="000000"/>
          <w:sz w:val="20"/>
          <w:szCs w:val="20"/>
          <w:lang w:eastAsia="en-GB"/>
        </w:rPr>
        <w:t>© Crown Copyright 2016</w:t>
      </w:r>
    </w:p>
    <w:p w:rsidR="004728E9" w:rsidRPr="004728E9" w:rsidRDefault="004728E9" w:rsidP="004728E9">
      <w:pPr>
        <w:suppressAutoHyphens/>
        <w:autoSpaceDN w:val="0"/>
        <w:spacing w:line="276" w:lineRule="auto"/>
        <w:ind w:left="-1134"/>
        <w:rPr>
          <w:rFonts w:eastAsia="Times New Roman" w:cs="Arial"/>
          <w:sz w:val="20"/>
          <w:szCs w:val="20"/>
          <w:lang w:eastAsia="en-GB"/>
        </w:rPr>
      </w:pPr>
      <w:r w:rsidRPr="004728E9">
        <w:rPr>
          <w:rFonts w:eastAsia="Times New Roman" w:cs="Arial"/>
          <w:sz w:val="20"/>
          <w:szCs w:val="20"/>
          <w:lang w:eastAsia="en-GB"/>
        </w:rPr>
        <w:t>Produced by the Infrastructure and Projects Authority</w:t>
      </w:r>
    </w:p>
    <w:p w:rsidR="004728E9" w:rsidRPr="004728E9" w:rsidRDefault="004728E9" w:rsidP="004728E9">
      <w:pPr>
        <w:suppressAutoHyphens/>
        <w:autoSpaceDN w:val="0"/>
        <w:spacing w:line="276" w:lineRule="auto"/>
        <w:ind w:left="-1134"/>
        <w:rPr>
          <w:rFonts w:ascii="Times New Roman" w:eastAsia="Times New Roman" w:hAnsi="Times New Roman" w:cs="Arial"/>
          <w:sz w:val="22"/>
          <w:lang w:eastAsia="en-GB"/>
        </w:rPr>
      </w:pPr>
    </w:p>
    <w:p w:rsidR="004728E9" w:rsidRPr="004728E9" w:rsidRDefault="004728E9" w:rsidP="004728E9">
      <w:pPr>
        <w:suppressAutoHyphens/>
        <w:autoSpaceDE w:val="0"/>
        <w:autoSpaceDN w:val="0"/>
        <w:spacing w:after="200"/>
        <w:ind w:left="-1134"/>
        <w:rPr>
          <w:rFonts w:eastAsia="Times New Roman" w:cs="Arial"/>
          <w:iCs/>
          <w:color w:val="000000"/>
          <w:sz w:val="20"/>
          <w:szCs w:val="20"/>
          <w:lang w:eastAsia="en-GB"/>
        </w:rPr>
      </w:pPr>
      <w:r w:rsidRPr="004728E9">
        <w:rPr>
          <w:rFonts w:eastAsia="Times New Roman" w:cs="Arial"/>
          <w:iCs/>
          <w:color w:val="000000"/>
          <w:sz w:val="20"/>
          <w:szCs w:val="20"/>
          <w:lang w:eastAsia="en-GB"/>
        </w:rPr>
        <w:t xml:space="preserve">You may re-use this document template (excluding logos and trademarks) free of charge in any format or medium, under the terms of the Open Government Licence. </w:t>
      </w:r>
    </w:p>
    <w:p w:rsidR="004728E9" w:rsidRPr="004728E9" w:rsidRDefault="004728E9" w:rsidP="004728E9">
      <w:pPr>
        <w:suppressAutoHyphens/>
        <w:autoSpaceDE w:val="0"/>
        <w:autoSpaceDN w:val="0"/>
        <w:ind w:left="-1134"/>
        <w:rPr>
          <w:rFonts w:eastAsia="Times New Roman" w:cs="Arial"/>
          <w:iCs/>
          <w:color w:val="000000"/>
          <w:sz w:val="20"/>
          <w:szCs w:val="20"/>
          <w:lang w:eastAsia="en-GB"/>
        </w:rPr>
      </w:pPr>
      <w:r w:rsidRPr="004728E9">
        <w:rPr>
          <w:rFonts w:eastAsia="Times New Roman" w:cs="Arial"/>
          <w:iCs/>
          <w:color w:val="000000"/>
          <w:sz w:val="20"/>
          <w:szCs w:val="20"/>
          <w:lang w:eastAsia="en-GB"/>
        </w:rPr>
        <w:t xml:space="preserve">To view this licence, visit: </w:t>
      </w:r>
    </w:p>
    <w:p w:rsidR="004728E9" w:rsidRPr="004728E9" w:rsidRDefault="004E77B4" w:rsidP="004728E9">
      <w:pPr>
        <w:suppressAutoHyphens/>
        <w:autoSpaceDE w:val="0"/>
        <w:autoSpaceDN w:val="0"/>
        <w:spacing w:after="200"/>
        <w:ind w:left="-1134"/>
        <w:rPr>
          <w:rFonts w:ascii="Times New Roman" w:eastAsia="Times New Roman" w:hAnsi="Times New Roman" w:cs="Times New Roman"/>
          <w:szCs w:val="24"/>
          <w:lang w:eastAsia="en-GB"/>
        </w:rPr>
      </w:pPr>
      <w:hyperlink r:id="rId32" w:history="1">
        <w:r w:rsidR="004728E9" w:rsidRPr="004728E9">
          <w:rPr>
            <w:rFonts w:eastAsia="Times New Roman" w:cs="Arial"/>
            <w:iCs/>
            <w:color w:val="0000FF"/>
            <w:sz w:val="20"/>
            <w:szCs w:val="20"/>
            <w:u w:val="single"/>
            <w:lang w:eastAsia="en-GB"/>
          </w:rPr>
          <w:t>http://www.nationalarchives.gov.uk/doc/open-government-licence/</w:t>
        </w:r>
      </w:hyperlink>
      <w:r w:rsidR="004728E9" w:rsidRPr="004728E9">
        <w:rPr>
          <w:rFonts w:eastAsia="Times New Roman" w:cs="Arial"/>
          <w:iCs/>
          <w:color w:val="000000"/>
          <w:sz w:val="20"/>
          <w:szCs w:val="20"/>
          <w:lang w:eastAsia="en-GB"/>
        </w:rPr>
        <w:t xml:space="preserve"> or e-mail: </w:t>
      </w:r>
      <w:hyperlink r:id="rId33" w:history="1">
        <w:r w:rsidR="004728E9" w:rsidRPr="004728E9">
          <w:rPr>
            <w:rFonts w:eastAsia="Times New Roman" w:cs="Arial"/>
            <w:iCs/>
            <w:color w:val="0000FF"/>
            <w:sz w:val="20"/>
            <w:szCs w:val="20"/>
            <w:u w:val="single"/>
            <w:lang w:eastAsia="en-GB"/>
          </w:rPr>
          <w:t>psi@nationalarchives.gsi.gov.uk</w:t>
        </w:r>
      </w:hyperlink>
    </w:p>
    <w:p w:rsidR="004728E9" w:rsidRPr="004728E9" w:rsidRDefault="004728E9" w:rsidP="004728E9">
      <w:pPr>
        <w:suppressAutoHyphens/>
        <w:autoSpaceDE w:val="0"/>
        <w:autoSpaceDN w:val="0"/>
        <w:spacing w:after="200"/>
        <w:ind w:left="-1134"/>
        <w:rPr>
          <w:rFonts w:eastAsia="Times New Roman" w:cs="Arial"/>
          <w:iCs/>
          <w:color w:val="000000"/>
          <w:sz w:val="20"/>
          <w:szCs w:val="20"/>
          <w:lang w:eastAsia="en-GB"/>
        </w:rPr>
      </w:pPr>
      <w:r w:rsidRPr="004728E9">
        <w:rPr>
          <w:rFonts w:eastAsia="Times New Roman" w:cs="Arial"/>
          <w:iCs/>
          <w:color w:val="000000"/>
          <w:sz w:val="20"/>
          <w:szCs w:val="20"/>
          <w:lang w:eastAsia="en-GB"/>
        </w:rPr>
        <w:t xml:space="preserve">Where we have identified any third party copyright information, you will need to obtain permission from the copyright holders concerned. </w:t>
      </w:r>
    </w:p>
    <w:p w:rsidR="004728E9" w:rsidRPr="004728E9" w:rsidRDefault="004728E9" w:rsidP="004728E9">
      <w:pPr>
        <w:suppressAutoHyphens/>
        <w:autoSpaceDE w:val="0"/>
        <w:autoSpaceDN w:val="0"/>
        <w:spacing w:after="200"/>
        <w:ind w:left="-1134"/>
        <w:rPr>
          <w:rFonts w:ascii="Times New Roman" w:eastAsia="Times New Roman" w:hAnsi="Times New Roman" w:cs="Times New Roman"/>
          <w:szCs w:val="24"/>
          <w:lang w:eastAsia="en-GB"/>
        </w:rPr>
      </w:pPr>
      <w:r w:rsidRPr="004728E9">
        <w:rPr>
          <w:rFonts w:eastAsia="Times New Roman" w:cs="Arial"/>
          <w:b/>
          <w:sz w:val="22"/>
          <w:lang w:eastAsia="en-GB"/>
        </w:rPr>
        <w:t>Further Information</w:t>
      </w:r>
    </w:p>
    <w:p w:rsidR="004728E9" w:rsidRPr="004728E9" w:rsidRDefault="004728E9" w:rsidP="004728E9">
      <w:pPr>
        <w:suppressAutoHyphens/>
        <w:autoSpaceDE w:val="0"/>
        <w:autoSpaceDN w:val="0"/>
        <w:spacing w:after="200"/>
        <w:ind w:left="-1134"/>
        <w:rPr>
          <w:rFonts w:ascii="Times New Roman" w:eastAsia="Times New Roman" w:hAnsi="Times New Roman" w:cs="Times New Roman"/>
          <w:szCs w:val="24"/>
          <w:lang w:eastAsia="en-GB"/>
        </w:rPr>
      </w:pPr>
      <w:r w:rsidRPr="004728E9">
        <w:rPr>
          <w:rFonts w:eastAsia="Times New Roman" w:cs="Arial"/>
          <w:iCs/>
          <w:color w:val="000000"/>
          <w:sz w:val="20"/>
          <w:szCs w:val="20"/>
          <w:lang w:eastAsia="en-GB"/>
        </w:rPr>
        <w:t xml:space="preserve">If you have any further questions about the use or completion of this template, please first contact your organisation’s Departmental Assurance Coordinator (or equivalent), or the IPA via </w:t>
      </w:r>
      <w:hyperlink r:id="rId34" w:history="1">
        <w:r w:rsidRPr="004728E9">
          <w:rPr>
            <w:rFonts w:eastAsia="Times New Roman" w:cs="Arial"/>
            <w:iCs/>
            <w:color w:val="0000FF"/>
            <w:sz w:val="20"/>
            <w:szCs w:val="20"/>
            <w:u w:val="single"/>
            <w:lang w:eastAsia="en-GB"/>
          </w:rPr>
          <w:t>Gateway.Helpdesk@ipa.gov.uk</w:t>
        </w:r>
      </w:hyperlink>
    </w:p>
    <w:p w:rsidR="004728E9" w:rsidRPr="004728E9" w:rsidRDefault="004728E9" w:rsidP="004728E9">
      <w:pPr>
        <w:suppressAutoHyphens/>
        <w:autoSpaceDE w:val="0"/>
        <w:autoSpaceDN w:val="0"/>
        <w:ind w:left="-1134"/>
        <w:rPr>
          <w:rFonts w:ascii="Times New Roman" w:eastAsia="Times New Roman" w:hAnsi="Times New Roman" w:cs="Times New Roman"/>
          <w:szCs w:val="24"/>
          <w:lang w:eastAsia="en-GB"/>
        </w:rPr>
      </w:pPr>
      <w:r w:rsidRPr="004728E9">
        <w:rPr>
          <w:rFonts w:eastAsia="Times New Roman" w:cs="Arial"/>
          <w:iCs/>
          <w:color w:val="000000"/>
          <w:sz w:val="20"/>
          <w:szCs w:val="20"/>
          <w:lang w:eastAsia="en-GB"/>
        </w:rPr>
        <w:t xml:space="preserve">This document is available on the assurance toolkit on the IPA website at: </w:t>
      </w:r>
      <w:hyperlink r:id="rId35" w:history="1">
        <w:r w:rsidRPr="004728E9">
          <w:rPr>
            <w:rFonts w:eastAsia="Times New Roman" w:cs="Arial"/>
            <w:color w:val="0000FF"/>
            <w:sz w:val="20"/>
            <w:szCs w:val="20"/>
            <w:u w:val="single"/>
            <w:lang w:eastAsia="en-GB"/>
          </w:rPr>
          <w:t>https://www.gov.uk/government/publications?departments%5B%5D=infrastructure-and-projects-authority</w:t>
        </w:r>
      </w:hyperlink>
    </w:p>
    <w:p w:rsidR="004728E9" w:rsidRPr="004728E9" w:rsidRDefault="004728E9" w:rsidP="004728E9">
      <w:pPr>
        <w:suppressAutoHyphens/>
        <w:autoSpaceDE w:val="0"/>
        <w:autoSpaceDN w:val="0"/>
        <w:ind w:left="-1134" w:right="-1151"/>
        <w:rPr>
          <w:rFonts w:eastAsia="Times New Roman" w:cs="Arial"/>
          <w:iCs/>
          <w:color w:val="000000"/>
          <w:sz w:val="20"/>
          <w:szCs w:val="20"/>
          <w:lang w:eastAsia="en-GB"/>
        </w:rPr>
      </w:pPr>
    </w:p>
    <w:p w:rsidR="004728E9" w:rsidRPr="004728E9" w:rsidRDefault="004728E9" w:rsidP="004728E9">
      <w:pPr>
        <w:suppressAutoHyphens/>
        <w:autoSpaceDE w:val="0"/>
        <w:autoSpaceDN w:val="0"/>
        <w:ind w:left="-1134" w:right="-1151"/>
        <w:rPr>
          <w:rFonts w:ascii="Times New Roman" w:eastAsia="Times New Roman" w:hAnsi="Times New Roman" w:cs="Times New Roman"/>
          <w:szCs w:val="24"/>
          <w:lang w:eastAsia="en-GB"/>
        </w:rPr>
      </w:pPr>
      <w:r w:rsidRPr="004728E9">
        <w:rPr>
          <w:rFonts w:eastAsia="Times New Roman" w:cs="Arial"/>
          <w:iCs/>
          <w:color w:val="000000"/>
          <w:sz w:val="20"/>
          <w:szCs w:val="20"/>
          <w:lang w:eastAsia="en-GB"/>
        </w:rPr>
        <w:t xml:space="preserve">Further information about the Cabinet Office Infrastructure and Projects Authority, and guidance for central government bodies on the requirements for integrated assurance and approvals is available online: </w:t>
      </w:r>
      <w:hyperlink r:id="rId36" w:history="1">
        <w:r w:rsidRPr="004728E9">
          <w:rPr>
            <w:rFonts w:eastAsia="Times New Roman" w:cs="Arial"/>
            <w:color w:val="0000FF"/>
            <w:sz w:val="20"/>
            <w:szCs w:val="20"/>
            <w:u w:val="single"/>
            <w:lang w:eastAsia="en-GB"/>
          </w:rPr>
          <w:t>https://www.gov.uk/government/organisations/infrastructure-and-projects-authority</w:t>
        </w:r>
      </w:hyperlink>
    </w:p>
    <w:p w:rsidR="004728E9" w:rsidRPr="004728E9" w:rsidRDefault="004728E9" w:rsidP="004728E9">
      <w:pPr>
        <w:suppressAutoHyphens/>
        <w:autoSpaceDE w:val="0"/>
        <w:autoSpaceDN w:val="0"/>
        <w:ind w:left="-1134" w:right="-1151"/>
        <w:rPr>
          <w:rFonts w:ascii="Times New Roman" w:eastAsia="Times New Roman" w:hAnsi="Times New Roman" w:cs="Times New Roman"/>
          <w:szCs w:val="24"/>
          <w:lang w:eastAsia="en-GB"/>
        </w:rPr>
      </w:pPr>
    </w:p>
    <w:p w:rsidR="004728E9" w:rsidRPr="004728E9" w:rsidRDefault="004728E9" w:rsidP="004728E9">
      <w:pPr>
        <w:suppressAutoHyphens/>
        <w:autoSpaceDE w:val="0"/>
        <w:autoSpaceDN w:val="0"/>
        <w:ind w:left="-1134" w:right="-1151"/>
        <w:rPr>
          <w:rFonts w:eastAsia="Times New Roman" w:cs="Arial"/>
          <w:sz w:val="20"/>
          <w:szCs w:val="20"/>
          <w:lang w:eastAsia="en-GB"/>
        </w:rPr>
      </w:pPr>
      <w:r w:rsidRPr="004728E9">
        <w:rPr>
          <w:rFonts w:eastAsia="Times New Roman" w:cs="Arial"/>
          <w:sz w:val="20"/>
          <w:szCs w:val="20"/>
          <w:lang w:eastAsia="en-GB"/>
        </w:rPr>
        <w:t>Infrastructure &amp; Projects Authority</w:t>
      </w:r>
    </w:p>
    <w:p w:rsidR="004728E9" w:rsidRPr="004728E9" w:rsidRDefault="004728E9" w:rsidP="004728E9">
      <w:pPr>
        <w:suppressAutoHyphens/>
        <w:autoSpaceDN w:val="0"/>
        <w:ind w:left="-1134"/>
        <w:rPr>
          <w:rFonts w:eastAsia="Times New Roman" w:cs="Arial"/>
          <w:sz w:val="20"/>
          <w:szCs w:val="20"/>
          <w:lang w:eastAsia="en-GB"/>
        </w:rPr>
      </w:pPr>
      <w:r w:rsidRPr="004728E9">
        <w:rPr>
          <w:rFonts w:eastAsia="Times New Roman" w:cs="Arial"/>
          <w:sz w:val="20"/>
          <w:szCs w:val="20"/>
          <w:lang w:eastAsia="en-GB"/>
        </w:rPr>
        <w:t>Cabinet Office</w:t>
      </w:r>
    </w:p>
    <w:p w:rsidR="004728E9" w:rsidRPr="004728E9" w:rsidRDefault="004728E9" w:rsidP="004728E9">
      <w:pPr>
        <w:suppressAutoHyphens/>
        <w:autoSpaceDN w:val="0"/>
        <w:ind w:left="-1134"/>
        <w:rPr>
          <w:rFonts w:eastAsia="Times New Roman" w:cs="Arial"/>
          <w:sz w:val="20"/>
          <w:szCs w:val="20"/>
          <w:lang w:eastAsia="en-GB"/>
        </w:rPr>
      </w:pPr>
      <w:r w:rsidRPr="004728E9">
        <w:rPr>
          <w:rFonts w:eastAsia="Times New Roman" w:cs="Arial"/>
          <w:sz w:val="20"/>
          <w:szCs w:val="20"/>
          <w:lang w:eastAsia="en-GB"/>
        </w:rPr>
        <w:t xml:space="preserve">1 Horse Guards Road </w:t>
      </w:r>
    </w:p>
    <w:p w:rsidR="004728E9" w:rsidRPr="004728E9" w:rsidRDefault="004728E9" w:rsidP="004728E9">
      <w:pPr>
        <w:suppressAutoHyphens/>
        <w:autoSpaceDN w:val="0"/>
        <w:ind w:left="-1134"/>
        <w:rPr>
          <w:rFonts w:eastAsia="Times New Roman" w:cs="Arial"/>
          <w:sz w:val="20"/>
          <w:szCs w:val="20"/>
          <w:lang w:eastAsia="en-GB"/>
        </w:rPr>
      </w:pPr>
      <w:r w:rsidRPr="004728E9">
        <w:rPr>
          <w:rFonts w:eastAsia="Times New Roman" w:cs="Arial"/>
          <w:sz w:val="20"/>
          <w:szCs w:val="20"/>
          <w:lang w:eastAsia="en-GB"/>
        </w:rPr>
        <w:t xml:space="preserve">London  </w:t>
      </w:r>
    </w:p>
    <w:p w:rsidR="004728E9" w:rsidRPr="004728E9" w:rsidRDefault="004728E9" w:rsidP="004728E9">
      <w:pPr>
        <w:suppressAutoHyphens/>
        <w:autoSpaceDN w:val="0"/>
        <w:ind w:left="-1134"/>
        <w:rPr>
          <w:rFonts w:ascii="Times New Roman" w:eastAsia="Times New Roman" w:hAnsi="Times New Roman" w:cs="Times New Roman"/>
          <w:szCs w:val="24"/>
          <w:lang w:eastAsia="en-GB"/>
        </w:rPr>
      </w:pPr>
      <w:r w:rsidRPr="004728E9">
        <w:rPr>
          <w:rFonts w:eastAsia="Times New Roman" w:cs="Arial"/>
          <w:sz w:val="20"/>
          <w:szCs w:val="20"/>
          <w:lang w:eastAsia="en-GB"/>
        </w:rPr>
        <w:t>SW1A 2HQ</w:t>
      </w:r>
    </w:p>
    <w:p w:rsidR="004728E9" w:rsidRPr="004728E9" w:rsidRDefault="004728E9" w:rsidP="004728E9">
      <w:pPr>
        <w:suppressAutoHyphens/>
        <w:autoSpaceDN w:val="0"/>
        <w:ind w:left="-1134"/>
        <w:rPr>
          <w:rFonts w:eastAsia="Times New Roman" w:cs="Arial"/>
          <w:bCs/>
          <w:sz w:val="22"/>
          <w:lang w:eastAsia="en-GB"/>
        </w:rPr>
      </w:pPr>
    </w:p>
    <w:p w:rsidR="004728E9" w:rsidRPr="004728E9" w:rsidRDefault="004728E9" w:rsidP="004728E9">
      <w:pPr>
        <w:suppressAutoHyphens/>
        <w:autoSpaceDN w:val="0"/>
        <w:ind w:left="-1134"/>
        <w:rPr>
          <w:rFonts w:ascii="Times New Roman" w:eastAsia="Times New Roman" w:hAnsi="Times New Roman" w:cs="Times New Roman"/>
          <w:szCs w:val="24"/>
          <w:lang w:eastAsia="en-GB"/>
        </w:rPr>
      </w:pPr>
    </w:p>
    <w:p w:rsidR="004728E9" w:rsidRDefault="004728E9" w:rsidP="004728E9"/>
    <w:p w:rsidR="004728E9" w:rsidRDefault="004728E9">
      <w:pPr>
        <w:spacing w:after="200" w:line="276" w:lineRule="auto"/>
      </w:pPr>
      <w:r>
        <w:br w:type="page"/>
      </w:r>
    </w:p>
    <w:p w:rsidR="004728E9" w:rsidRDefault="004728E9" w:rsidP="004728E9">
      <w:pPr>
        <w:pStyle w:val="Heading1"/>
      </w:pPr>
      <w:bookmarkStart w:id="45" w:name="_Toc105665227"/>
      <w:r>
        <w:lastRenderedPageBreak/>
        <w:t>Appendix J:  Evaluation of Possible Site Options</w:t>
      </w:r>
      <w:bookmarkEnd w:id="45"/>
    </w:p>
    <w:p w:rsidR="004728E9" w:rsidRDefault="004728E9" w:rsidP="004728E9"/>
    <w:p w:rsidR="004728E9" w:rsidRDefault="004728E9" w:rsidP="004728E9">
      <w:pPr>
        <w:jc w:val="both"/>
        <w:rPr>
          <w:rFonts w:eastAsia="Times New Roman" w:cs="Times New Roman"/>
          <w:sz w:val="22"/>
          <w:lang w:eastAsia="en-GB"/>
        </w:rPr>
      </w:pPr>
      <w:r>
        <w:rPr>
          <w:rFonts w:eastAsia="Times New Roman" w:cs="Times New Roman"/>
          <w:sz w:val="22"/>
          <w:lang w:eastAsia="en-GB"/>
        </w:rPr>
        <w:t>A workshop was held on 27</w:t>
      </w:r>
      <w:r>
        <w:rPr>
          <w:rFonts w:eastAsia="Times New Roman" w:cs="Times New Roman"/>
          <w:sz w:val="22"/>
          <w:vertAlign w:val="superscript"/>
          <w:lang w:eastAsia="en-GB"/>
        </w:rPr>
        <w:t>th</w:t>
      </w:r>
      <w:r>
        <w:rPr>
          <w:rFonts w:eastAsia="Times New Roman" w:cs="Times New Roman"/>
          <w:sz w:val="22"/>
          <w:lang w:eastAsia="en-GB"/>
        </w:rPr>
        <w:t xml:space="preserve"> November 2019 to discuss where, in view of the combined project, possible building work could take place and the merits of each option.    Attendees included senior managers from ULHT, CCG, </w:t>
      </w:r>
      <w:proofErr w:type="spellStart"/>
      <w:r>
        <w:rPr>
          <w:rFonts w:eastAsia="Times New Roman" w:cs="Times New Roman"/>
          <w:sz w:val="22"/>
          <w:lang w:eastAsia="en-GB"/>
        </w:rPr>
        <w:t>Pathlinks</w:t>
      </w:r>
      <w:proofErr w:type="spellEnd"/>
      <w:r>
        <w:rPr>
          <w:rFonts w:eastAsia="Times New Roman" w:cs="Times New Roman"/>
          <w:sz w:val="22"/>
          <w:lang w:eastAsia="en-GB"/>
        </w:rPr>
        <w:t xml:space="preserve"> (pathology provider):</w:t>
      </w:r>
    </w:p>
    <w:p w:rsidR="004728E9" w:rsidRDefault="004728E9" w:rsidP="004728E9">
      <w:pPr>
        <w:rPr>
          <w:rFonts w:eastAsia="Times New Roman" w:cs="Times New Roman"/>
          <w:szCs w:val="24"/>
          <w:lang w:eastAsia="en-GB"/>
        </w:rPr>
      </w:pPr>
    </w:p>
    <w:tbl>
      <w:tblPr>
        <w:tblW w:w="0" w:type="auto"/>
        <w:jc w:val="center"/>
        <w:tblLook w:val="04A0" w:firstRow="1" w:lastRow="0" w:firstColumn="1" w:lastColumn="0" w:noHBand="0" w:noVBand="1"/>
      </w:tblPr>
      <w:tblGrid>
        <w:gridCol w:w="5638"/>
        <w:gridCol w:w="1391"/>
      </w:tblGrid>
      <w:tr w:rsidR="004728E9" w:rsidTr="004728E9">
        <w:trPr>
          <w:trHeight w:val="290"/>
          <w:jc w:val="center"/>
        </w:trPr>
        <w:tc>
          <w:tcPr>
            <w:tcW w:w="0" w:type="auto"/>
            <w:noWrap/>
            <w:vAlign w:val="bottom"/>
            <w:hideMark/>
          </w:tcPr>
          <w:p w:rsidR="004728E9" w:rsidRDefault="004728E9">
            <w:pPr>
              <w:spacing w:line="276" w:lineRule="auto"/>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Position</w:t>
            </w:r>
          </w:p>
        </w:tc>
        <w:tc>
          <w:tcPr>
            <w:tcW w:w="0" w:type="auto"/>
            <w:noWrap/>
            <w:vAlign w:val="bottom"/>
            <w:hideMark/>
          </w:tcPr>
          <w:p w:rsidR="004728E9" w:rsidRDefault="004728E9">
            <w:pPr>
              <w:spacing w:line="276" w:lineRule="auto"/>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Organisation</w:t>
            </w:r>
          </w:p>
        </w:tc>
      </w:tr>
      <w:tr w:rsidR="004728E9" w:rsidTr="004728E9">
        <w:trPr>
          <w:trHeight w:val="100"/>
          <w:jc w:val="center"/>
        </w:trPr>
        <w:tc>
          <w:tcPr>
            <w:tcW w:w="0" w:type="auto"/>
            <w:noWrap/>
            <w:vAlign w:val="bottom"/>
            <w:hideMark/>
          </w:tcPr>
          <w:p w:rsidR="004728E9" w:rsidRDefault="004728E9">
            <w:pPr>
              <w:rPr>
                <w:rFonts w:ascii="Calibri" w:eastAsia="Times New Roman" w:hAnsi="Calibri" w:cs="Calibri"/>
                <w:b/>
                <w:bCs/>
                <w:color w:val="000000"/>
                <w:sz w:val="22"/>
                <w:lang w:eastAsia="en-GB"/>
              </w:rPr>
            </w:pPr>
          </w:p>
        </w:tc>
        <w:tc>
          <w:tcPr>
            <w:tcW w:w="0" w:type="auto"/>
            <w:noWrap/>
            <w:vAlign w:val="bottom"/>
            <w:hideMark/>
          </w:tcPr>
          <w:p w:rsidR="004728E9" w:rsidRDefault="004728E9">
            <w:pPr>
              <w:spacing w:line="276" w:lineRule="auto"/>
              <w:rPr>
                <w:rFonts w:asciiTheme="minorHAnsi" w:hAnsiTheme="minorHAnsi"/>
                <w:sz w:val="20"/>
                <w:szCs w:val="20"/>
                <w:lang w:eastAsia="en-GB"/>
              </w:rPr>
            </w:pPr>
          </w:p>
        </w:tc>
      </w:tr>
      <w:tr w:rsidR="004728E9" w:rsidTr="004728E9">
        <w:trPr>
          <w:trHeight w:val="290"/>
          <w:jc w:val="center"/>
        </w:trPr>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Deputy Director of Operations, Project Lead</w:t>
            </w:r>
          </w:p>
        </w:tc>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ULHT</w:t>
            </w:r>
          </w:p>
        </w:tc>
      </w:tr>
      <w:tr w:rsidR="004728E9" w:rsidTr="004728E9">
        <w:trPr>
          <w:trHeight w:val="290"/>
          <w:jc w:val="center"/>
        </w:trPr>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Matron, Urgent Care</w:t>
            </w:r>
          </w:p>
        </w:tc>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LCHS</w:t>
            </w:r>
          </w:p>
        </w:tc>
      </w:tr>
      <w:tr w:rsidR="004728E9" w:rsidTr="004728E9">
        <w:trPr>
          <w:trHeight w:val="290"/>
          <w:jc w:val="center"/>
        </w:trPr>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Patient Representative</w:t>
            </w:r>
          </w:p>
        </w:tc>
        <w:tc>
          <w:tcPr>
            <w:tcW w:w="0" w:type="auto"/>
            <w:noWrap/>
            <w:vAlign w:val="bottom"/>
            <w:hideMark/>
          </w:tcPr>
          <w:p w:rsidR="004728E9" w:rsidRDefault="004728E9">
            <w:pPr>
              <w:rPr>
                <w:rFonts w:ascii="Calibri" w:eastAsia="Times New Roman" w:hAnsi="Calibri" w:cs="Calibri"/>
                <w:color w:val="000000"/>
                <w:sz w:val="22"/>
                <w:lang w:eastAsia="en-GB"/>
              </w:rPr>
            </w:pPr>
          </w:p>
        </w:tc>
      </w:tr>
      <w:tr w:rsidR="004728E9" w:rsidTr="004728E9">
        <w:trPr>
          <w:trHeight w:val="290"/>
          <w:jc w:val="center"/>
        </w:trPr>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Project Manager, Facilities</w:t>
            </w:r>
          </w:p>
        </w:tc>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ULHT</w:t>
            </w:r>
          </w:p>
        </w:tc>
      </w:tr>
      <w:tr w:rsidR="004728E9" w:rsidTr="004728E9">
        <w:trPr>
          <w:trHeight w:val="290"/>
          <w:jc w:val="center"/>
        </w:trPr>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Urgent Care Project Manager</w:t>
            </w:r>
          </w:p>
        </w:tc>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CCG</w:t>
            </w:r>
          </w:p>
        </w:tc>
      </w:tr>
      <w:tr w:rsidR="004728E9" w:rsidTr="004728E9">
        <w:trPr>
          <w:trHeight w:val="290"/>
          <w:jc w:val="center"/>
        </w:trPr>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Volunteer, Research &amp; Development, Patient Representative</w:t>
            </w:r>
          </w:p>
        </w:tc>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ULHT</w:t>
            </w:r>
          </w:p>
        </w:tc>
      </w:tr>
      <w:tr w:rsidR="004728E9" w:rsidTr="004728E9">
        <w:trPr>
          <w:trHeight w:val="290"/>
          <w:jc w:val="center"/>
        </w:trPr>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Deputy Sister, ED</w:t>
            </w:r>
          </w:p>
        </w:tc>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ULHT</w:t>
            </w:r>
          </w:p>
        </w:tc>
      </w:tr>
      <w:tr w:rsidR="004728E9" w:rsidTr="004728E9">
        <w:trPr>
          <w:trHeight w:val="290"/>
          <w:jc w:val="center"/>
        </w:trPr>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Consultant, Emergency Department</w:t>
            </w:r>
          </w:p>
        </w:tc>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ULHT</w:t>
            </w:r>
          </w:p>
        </w:tc>
      </w:tr>
      <w:tr w:rsidR="004728E9" w:rsidTr="004728E9">
        <w:trPr>
          <w:trHeight w:val="290"/>
          <w:jc w:val="center"/>
        </w:trPr>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Pathology Site Manager</w:t>
            </w:r>
          </w:p>
        </w:tc>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proofErr w:type="spellStart"/>
            <w:r>
              <w:rPr>
                <w:rFonts w:ascii="Calibri" w:eastAsia="Times New Roman" w:hAnsi="Calibri" w:cs="Calibri"/>
                <w:color w:val="000000"/>
                <w:sz w:val="22"/>
                <w:lang w:eastAsia="en-GB"/>
              </w:rPr>
              <w:t>Pathlinks</w:t>
            </w:r>
            <w:proofErr w:type="spellEnd"/>
          </w:p>
        </w:tc>
      </w:tr>
      <w:tr w:rsidR="004728E9" w:rsidTr="004728E9">
        <w:trPr>
          <w:trHeight w:val="290"/>
          <w:jc w:val="center"/>
        </w:trPr>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Associate Director of Estates and Capital Planning</w:t>
            </w:r>
          </w:p>
        </w:tc>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ULHT</w:t>
            </w:r>
          </w:p>
        </w:tc>
      </w:tr>
      <w:tr w:rsidR="004728E9" w:rsidTr="004728E9">
        <w:trPr>
          <w:trHeight w:val="290"/>
          <w:jc w:val="center"/>
        </w:trPr>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Senior Commissioning and Performance Manager</w:t>
            </w:r>
          </w:p>
        </w:tc>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CCG</w:t>
            </w:r>
          </w:p>
        </w:tc>
      </w:tr>
      <w:tr w:rsidR="004728E9" w:rsidTr="004728E9">
        <w:trPr>
          <w:trHeight w:val="290"/>
          <w:jc w:val="center"/>
        </w:trPr>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Capital Projects Manager, Facilities</w:t>
            </w:r>
          </w:p>
        </w:tc>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ULHT</w:t>
            </w:r>
          </w:p>
        </w:tc>
      </w:tr>
      <w:tr w:rsidR="004728E9" w:rsidTr="004728E9">
        <w:trPr>
          <w:trHeight w:val="290"/>
          <w:jc w:val="center"/>
        </w:trPr>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Consultant Architect, Facilities</w:t>
            </w:r>
          </w:p>
        </w:tc>
        <w:tc>
          <w:tcPr>
            <w:tcW w:w="0" w:type="auto"/>
            <w:noWrap/>
            <w:vAlign w:val="bottom"/>
            <w:hideMark/>
          </w:tcPr>
          <w:p w:rsidR="004728E9" w:rsidRDefault="004728E9">
            <w:pPr>
              <w:spacing w:line="276" w:lineRule="auto"/>
              <w:rPr>
                <w:rFonts w:ascii="Calibri" w:eastAsia="Times New Roman" w:hAnsi="Calibri" w:cs="Calibri"/>
                <w:color w:val="000000"/>
                <w:sz w:val="22"/>
                <w:lang w:eastAsia="en-GB"/>
              </w:rPr>
            </w:pPr>
            <w:r>
              <w:rPr>
                <w:rFonts w:ascii="Calibri" w:eastAsia="Times New Roman" w:hAnsi="Calibri" w:cs="Calibri"/>
                <w:color w:val="000000"/>
                <w:sz w:val="22"/>
                <w:lang w:eastAsia="en-GB"/>
              </w:rPr>
              <w:t>ULHT</w:t>
            </w:r>
          </w:p>
        </w:tc>
      </w:tr>
    </w:tbl>
    <w:p w:rsidR="004728E9" w:rsidRDefault="004728E9" w:rsidP="004728E9">
      <w:pPr>
        <w:rPr>
          <w:rFonts w:eastAsia="Times New Roman" w:cs="Times New Roman"/>
          <w:szCs w:val="24"/>
          <w:lang w:eastAsia="en-GB"/>
        </w:rPr>
      </w:pPr>
    </w:p>
    <w:p w:rsidR="004728E9" w:rsidRDefault="004728E9" w:rsidP="004728E9">
      <w:pPr>
        <w:rPr>
          <w:rFonts w:eastAsia="Times New Roman" w:cs="Times New Roman"/>
          <w:szCs w:val="24"/>
          <w:lang w:eastAsia="en-GB"/>
        </w:rPr>
      </w:pPr>
    </w:p>
    <w:p w:rsidR="004728E9" w:rsidRDefault="004728E9" w:rsidP="004728E9">
      <w:pPr>
        <w:jc w:val="both"/>
        <w:rPr>
          <w:rFonts w:eastAsia="Times New Roman" w:cs="Times New Roman"/>
          <w:sz w:val="22"/>
          <w:lang w:eastAsia="en-GB"/>
        </w:rPr>
      </w:pPr>
      <w:r>
        <w:rPr>
          <w:rFonts w:eastAsia="Times New Roman" w:cs="Times New Roman"/>
          <w:sz w:val="22"/>
          <w:lang w:eastAsia="en-GB"/>
        </w:rPr>
        <w:t>A range of options had been developed by ULHT consultant architect in response to the emerging accommodation schedule with do minimum, intermediate and do maximum options.  In addition, the ULHT estates strategy had identified adjacent buildings in poor condition, which, with some moves of existing occupants, could be a good option to raise and rebuild.</w:t>
      </w:r>
    </w:p>
    <w:p w:rsidR="004728E9" w:rsidRDefault="004728E9" w:rsidP="004728E9">
      <w:pPr>
        <w:jc w:val="both"/>
        <w:rPr>
          <w:rFonts w:eastAsia="Times New Roman" w:cs="Times New Roman"/>
          <w:sz w:val="22"/>
          <w:lang w:eastAsia="en-GB"/>
        </w:rPr>
      </w:pPr>
    </w:p>
    <w:p w:rsidR="004728E9" w:rsidRDefault="004728E9" w:rsidP="004728E9">
      <w:pPr>
        <w:jc w:val="both"/>
        <w:rPr>
          <w:rFonts w:eastAsia="Times New Roman" w:cs="Times New Roman"/>
          <w:sz w:val="22"/>
          <w:lang w:eastAsia="en-GB"/>
        </w:rPr>
      </w:pPr>
      <w:r>
        <w:rPr>
          <w:rFonts w:eastAsia="Times New Roman" w:cs="Times New Roman"/>
          <w:sz w:val="22"/>
          <w:lang w:eastAsia="en-GB"/>
        </w:rPr>
        <w:t>After some debate the preferred options for a possible site location were options 4, 5, 11 and 12 with option 4 as the preferred, 5 and 12 as the preferred do minimum and 11 as the preferred do maximum.  A table summarising the debate around the options is given below.  Reasons why some designs were discounted are given in the disadvantages table for each option:</w:t>
      </w:r>
    </w:p>
    <w:p w:rsidR="004728E9" w:rsidRDefault="004728E9" w:rsidP="004728E9">
      <w:pPr>
        <w:jc w:val="both"/>
        <w:rPr>
          <w:rFonts w:eastAsia="Times New Roman" w:cs="Times New Roman"/>
          <w:sz w:val="22"/>
          <w:lang w:eastAsia="en-GB"/>
        </w:rPr>
      </w:pPr>
    </w:p>
    <w:tbl>
      <w:tblPr>
        <w:tblStyle w:val="TableGrid"/>
        <w:tblW w:w="0" w:type="auto"/>
        <w:tblInd w:w="0" w:type="dxa"/>
        <w:tblLook w:val="04A0" w:firstRow="1" w:lastRow="0" w:firstColumn="1" w:lastColumn="0" w:noHBand="0" w:noVBand="1"/>
      </w:tblPr>
      <w:tblGrid>
        <w:gridCol w:w="1971"/>
        <w:gridCol w:w="2824"/>
        <w:gridCol w:w="4221"/>
      </w:tblGrid>
      <w:tr w:rsidR="004728E9" w:rsidTr="004728E9">
        <w:tc>
          <w:tcPr>
            <w:tcW w:w="1980" w:type="dxa"/>
            <w:tcBorders>
              <w:top w:val="single" w:sz="4" w:space="0" w:color="auto"/>
              <w:left w:val="single" w:sz="4" w:space="0" w:color="auto"/>
              <w:bottom w:val="single" w:sz="4" w:space="0" w:color="auto"/>
              <w:right w:val="single" w:sz="4" w:space="0" w:color="auto"/>
            </w:tcBorders>
            <w:hideMark/>
          </w:tcPr>
          <w:p w:rsidR="004728E9" w:rsidRDefault="004728E9">
            <w:pPr>
              <w:jc w:val="both"/>
              <w:rPr>
                <w:rFonts w:eastAsia="Times New Roman" w:cs="Times New Roman"/>
                <w:b/>
                <w:sz w:val="22"/>
                <w:szCs w:val="20"/>
                <w:lang w:eastAsia="en-GB"/>
              </w:rPr>
            </w:pPr>
            <w:r>
              <w:rPr>
                <w:b/>
                <w:sz w:val="22"/>
                <w:szCs w:val="20"/>
                <w:lang w:eastAsia="en-GB"/>
              </w:rPr>
              <w:t>Option</w:t>
            </w:r>
          </w:p>
        </w:tc>
        <w:tc>
          <w:tcPr>
            <w:tcW w:w="2835" w:type="dxa"/>
            <w:tcBorders>
              <w:top w:val="single" w:sz="4" w:space="0" w:color="auto"/>
              <w:left w:val="single" w:sz="4" w:space="0" w:color="auto"/>
              <w:bottom w:val="single" w:sz="4" w:space="0" w:color="auto"/>
              <w:right w:val="single" w:sz="4" w:space="0" w:color="auto"/>
            </w:tcBorders>
            <w:hideMark/>
          </w:tcPr>
          <w:p w:rsidR="004728E9" w:rsidRDefault="004728E9">
            <w:pPr>
              <w:jc w:val="both"/>
              <w:rPr>
                <w:b/>
                <w:sz w:val="22"/>
                <w:szCs w:val="20"/>
                <w:lang w:eastAsia="en-GB"/>
              </w:rPr>
            </w:pPr>
            <w:r>
              <w:rPr>
                <w:b/>
                <w:sz w:val="22"/>
                <w:szCs w:val="20"/>
                <w:lang w:eastAsia="en-GB"/>
              </w:rPr>
              <w:t>Scope</w:t>
            </w:r>
          </w:p>
        </w:tc>
        <w:tc>
          <w:tcPr>
            <w:tcW w:w="4245" w:type="dxa"/>
            <w:tcBorders>
              <w:top w:val="single" w:sz="4" w:space="0" w:color="auto"/>
              <w:left w:val="single" w:sz="4" w:space="0" w:color="auto"/>
              <w:bottom w:val="single" w:sz="4" w:space="0" w:color="auto"/>
              <w:right w:val="single" w:sz="4" w:space="0" w:color="auto"/>
            </w:tcBorders>
            <w:hideMark/>
          </w:tcPr>
          <w:p w:rsidR="004728E9" w:rsidRDefault="004728E9">
            <w:pPr>
              <w:jc w:val="both"/>
              <w:rPr>
                <w:b/>
                <w:sz w:val="22"/>
                <w:szCs w:val="20"/>
                <w:lang w:eastAsia="en-GB"/>
              </w:rPr>
            </w:pPr>
            <w:r>
              <w:rPr>
                <w:b/>
                <w:sz w:val="22"/>
                <w:szCs w:val="20"/>
                <w:lang w:eastAsia="en-GB"/>
              </w:rPr>
              <w:t>Outcome</w:t>
            </w:r>
          </w:p>
        </w:tc>
      </w:tr>
      <w:tr w:rsidR="004728E9" w:rsidTr="004728E9">
        <w:tc>
          <w:tcPr>
            <w:tcW w:w="1980"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1</w:t>
            </w:r>
          </w:p>
        </w:tc>
        <w:tc>
          <w:tcPr>
            <w:tcW w:w="283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Do maximum option</w:t>
            </w:r>
          </w:p>
        </w:tc>
        <w:tc>
          <w:tcPr>
            <w:tcW w:w="424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Discounted</w:t>
            </w:r>
          </w:p>
        </w:tc>
      </w:tr>
      <w:tr w:rsidR="004728E9" w:rsidTr="004728E9">
        <w:tc>
          <w:tcPr>
            <w:tcW w:w="1980"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2</w:t>
            </w:r>
          </w:p>
        </w:tc>
        <w:tc>
          <w:tcPr>
            <w:tcW w:w="283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Intermediate option</w:t>
            </w:r>
          </w:p>
        </w:tc>
        <w:tc>
          <w:tcPr>
            <w:tcW w:w="424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Discounted</w:t>
            </w:r>
          </w:p>
        </w:tc>
      </w:tr>
      <w:tr w:rsidR="004728E9" w:rsidTr="004728E9">
        <w:tc>
          <w:tcPr>
            <w:tcW w:w="1980"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3</w:t>
            </w:r>
          </w:p>
        </w:tc>
        <w:tc>
          <w:tcPr>
            <w:tcW w:w="283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Intermediate option</w:t>
            </w:r>
          </w:p>
        </w:tc>
        <w:tc>
          <w:tcPr>
            <w:tcW w:w="424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Discounted</w:t>
            </w:r>
          </w:p>
        </w:tc>
      </w:tr>
      <w:tr w:rsidR="004728E9" w:rsidTr="004728E9">
        <w:tc>
          <w:tcPr>
            <w:tcW w:w="1980"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4</w:t>
            </w:r>
          </w:p>
        </w:tc>
        <w:tc>
          <w:tcPr>
            <w:tcW w:w="283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Do minimum option</w:t>
            </w:r>
          </w:p>
        </w:tc>
        <w:tc>
          <w:tcPr>
            <w:tcW w:w="424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Preferred way forwards</w:t>
            </w:r>
          </w:p>
        </w:tc>
      </w:tr>
      <w:tr w:rsidR="004728E9" w:rsidTr="004728E9">
        <w:tc>
          <w:tcPr>
            <w:tcW w:w="1980"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5</w:t>
            </w:r>
          </w:p>
        </w:tc>
        <w:tc>
          <w:tcPr>
            <w:tcW w:w="283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Intermediate + option</w:t>
            </w:r>
          </w:p>
        </w:tc>
        <w:tc>
          <w:tcPr>
            <w:tcW w:w="424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Carried forwards as a do minimum option</w:t>
            </w:r>
          </w:p>
        </w:tc>
      </w:tr>
      <w:tr w:rsidR="004728E9" w:rsidTr="004728E9">
        <w:tc>
          <w:tcPr>
            <w:tcW w:w="1980"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6</w:t>
            </w:r>
          </w:p>
        </w:tc>
        <w:tc>
          <w:tcPr>
            <w:tcW w:w="283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Intermediate + option</w:t>
            </w:r>
          </w:p>
        </w:tc>
        <w:tc>
          <w:tcPr>
            <w:tcW w:w="424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Discounted</w:t>
            </w:r>
          </w:p>
        </w:tc>
      </w:tr>
      <w:tr w:rsidR="004728E9" w:rsidTr="004728E9">
        <w:tc>
          <w:tcPr>
            <w:tcW w:w="1980"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7</w:t>
            </w:r>
          </w:p>
        </w:tc>
        <w:tc>
          <w:tcPr>
            <w:tcW w:w="283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Intermediate + option</w:t>
            </w:r>
          </w:p>
        </w:tc>
        <w:tc>
          <w:tcPr>
            <w:tcW w:w="424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Discounted</w:t>
            </w:r>
          </w:p>
        </w:tc>
      </w:tr>
      <w:tr w:rsidR="004728E9" w:rsidTr="004728E9">
        <w:tc>
          <w:tcPr>
            <w:tcW w:w="1980"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8</w:t>
            </w:r>
          </w:p>
        </w:tc>
        <w:tc>
          <w:tcPr>
            <w:tcW w:w="283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Intermediate + option</w:t>
            </w:r>
          </w:p>
        </w:tc>
        <w:tc>
          <w:tcPr>
            <w:tcW w:w="424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Carried forwards as a do more option</w:t>
            </w:r>
          </w:p>
        </w:tc>
      </w:tr>
      <w:tr w:rsidR="004728E9" w:rsidTr="004728E9">
        <w:tc>
          <w:tcPr>
            <w:tcW w:w="1980"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9</w:t>
            </w:r>
          </w:p>
        </w:tc>
        <w:tc>
          <w:tcPr>
            <w:tcW w:w="283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Intermediate + option</w:t>
            </w:r>
          </w:p>
        </w:tc>
        <w:tc>
          <w:tcPr>
            <w:tcW w:w="424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Discounted</w:t>
            </w:r>
          </w:p>
        </w:tc>
      </w:tr>
      <w:tr w:rsidR="004728E9" w:rsidTr="004728E9">
        <w:tc>
          <w:tcPr>
            <w:tcW w:w="1980"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10</w:t>
            </w:r>
          </w:p>
        </w:tc>
        <w:tc>
          <w:tcPr>
            <w:tcW w:w="283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Do maximum option</w:t>
            </w:r>
          </w:p>
        </w:tc>
        <w:tc>
          <w:tcPr>
            <w:tcW w:w="424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Discounted</w:t>
            </w:r>
          </w:p>
        </w:tc>
      </w:tr>
      <w:tr w:rsidR="004728E9" w:rsidTr="004728E9">
        <w:tc>
          <w:tcPr>
            <w:tcW w:w="1980"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11</w:t>
            </w:r>
          </w:p>
        </w:tc>
        <w:tc>
          <w:tcPr>
            <w:tcW w:w="283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Do maximum option</w:t>
            </w:r>
          </w:p>
        </w:tc>
        <w:tc>
          <w:tcPr>
            <w:tcW w:w="424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Carried forwards as a do maximum option</w:t>
            </w:r>
          </w:p>
        </w:tc>
      </w:tr>
      <w:tr w:rsidR="004728E9" w:rsidTr="004728E9">
        <w:tc>
          <w:tcPr>
            <w:tcW w:w="1980"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12</w:t>
            </w:r>
          </w:p>
        </w:tc>
        <w:tc>
          <w:tcPr>
            <w:tcW w:w="283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Do minimum option</w:t>
            </w:r>
          </w:p>
        </w:tc>
        <w:tc>
          <w:tcPr>
            <w:tcW w:w="4245" w:type="dxa"/>
            <w:tcBorders>
              <w:top w:val="single" w:sz="4" w:space="0" w:color="auto"/>
              <w:left w:val="single" w:sz="4" w:space="0" w:color="auto"/>
              <w:bottom w:val="single" w:sz="4" w:space="0" w:color="auto"/>
              <w:right w:val="single" w:sz="4" w:space="0" w:color="auto"/>
            </w:tcBorders>
            <w:hideMark/>
          </w:tcPr>
          <w:p w:rsidR="004728E9" w:rsidRDefault="004728E9">
            <w:pPr>
              <w:jc w:val="both"/>
              <w:rPr>
                <w:sz w:val="22"/>
                <w:szCs w:val="20"/>
                <w:lang w:eastAsia="en-GB"/>
              </w:rPr>
            </w:pPr>
            <w:r>
              <w:rPr>
                <w:sz w:val="22"/>
                <w:szCs w:val="20"/>
                <w:lang w:eastAsia="en-GB"/>
              </w:rPr>
              <w:t>Carried forwards as a do minimum option</w:t>
            </w:r>
          </w:p>
        </w:tc>
      </w:tr>
    </w:tbl>
    <w:p w:rsidR="004728E9" w:rsidRDefault="004728E9" w:rsidP="004728E9">
      <w:pPr>
        <w:jc w:val="both"/>
        <w:rPr>
          <w:rFonts w:eastAsia="Times New Roman" w:cs="Times New Roman"/>
          <w:sz w:val="22"/>
          <w:lang w:eastAsia="en-GB"/>
        </w:rPr>
      </w:pPr>
    </w:p>
    <w:p w:rsidR="004728E9" w:rsidRDefault="004728E9" w:rsidP="004728E9">
      <w:pPr>
        <w:rPr>
          <w:rFonts w:eastAsia="Times New Roman" w:cs="Times New Roman"/>
          <w:szCs w:val="24"/>
          <w:lang w:eastAsia="en-GB"/>
        </w:rPr>
      </w:pPr>
    </w:p>
    <w:p w:rsidR="004728E9" w:rsidRDefault="004728E9" w:rsidP="004728E9">
      <w:pPr>
        <w:spacing w:after="160"/>
        <w:rPr>
          <w:rFonts w:ascii="Calibri" w:eastAsia="Times New Roman" w:hAnsi="Calibri" w:cs="Times New Roman"/>
          <w:color w:val="5A5A5A"/>
          <w:spacing w:val="15"/>
          <w:sz w:val="28"/>
          <w:szCs w:val="28"/>
          <w:lang w:eastAsia="en-GB"/>
        </w:rPr>
      </w:pPr>
      <w:bookmarkStart w:id="46" w:name="_Toc76551204"/>
      <w:r>
        <w:rPr>
          <w:rFonts w:ascii="Calibri" w:eastAsia="Times New Roman" w:hAnsi="Calibri" w:cs="Times New Roman"/>
          <w:color w:val="5A5A5A"/>
          <w:spacing w:val="15"/>
          <w:sz w:val="28"/>
          <w:szCs w:val="28"/>
          <w:lang w:eastAsia="en-GB"/>
        </w:rPr>
        <w:lastRenderedPageBreak/>
        <w:t>Option 1 – do minimum</w:t>
      </w:r>
      <w:bookmarkEnd w:id="46"/>
    </w:p>
    <w:p w:rsidR="004728E9" w:rsidRDefault="004728E9" w:rsidP="004728E9">
      <w:pPr>
        <w:jc w:val="both"/>
        <w:rPr>
          <w:rFonts w:eastAsia="Times New Roman" w:cs="Times New Roman"/>
          <w:sz w:val="22"/>
          <w:lang w:eastAsia="en-GB"/>
        </w:rPr>
      </w:pPr>
      <w:r>
        <w:rPr>
          <w:rFonts w:eastAsia="Times New Roman" w:cs="Times New Roman"/>
          <w:sz w:val="22"/>
          <w:lang w:eastAsia="en-GB"/>
        </w:rPr>
        <w:t xml:space="preserve">This was a reduced look at the two separate options presented within the original strategic outline cases – a separate build for both the UTC and for an expanded </w:t>
      </w:r>
      <w:proofErr w:type="spellStart"/>
      <w:r>
        <w:rPr>
          <w:rFonts w:eastAsia="Times New Roman" w:cs="Times New Roman"/>
          <w:sz w:val="22"/>
          <w:lang w:eastAsia="en-GB"/>
        </w:rPr>
        <w:t>resus</w:t>
      </w:r>
      <w:proofErr w:type="spellEnd"/>
      <w:r>
        <w:rPr>
          <w:rFonts w:eastAsia="Times New Roman" w:cs="Times New Roman"/>
          <w:sz w:val="22"/>
          <w:lang w:eastAsia="en-GB"/>
        </w:rPr>
        <w:t xml:space="preserve">.  A small, single storey extension on one side of the ED to increase the existing 4 bay </w:t>
      </w:r>
      <w:proofErr w:type="spellStart"/>
      <w:r>
        <w:rPr>
          <w:rFonts w:eastAsia="Times New Roman" w:cs="Times New Roman"/>
          <w:sz w:val="22"/>
          <w:lang w:eastAsia="en-GB"/>
        </w:rPr>
        <w:t>resus</w:t>
      </w:r>
      <w:proofErr w:type="spellEnd"/>
      <w:r>
        <w:rPr>
          <w:rFonts w:eastAsia="Times New Roman" w:cs="Times New Roman"/>
          <w:sz w:val="22"/>
          <w:lang w:eastAsia="en-GB"/>
        </w:rPr>
        <w:t xml:space="preserve"> area to 6 bays and the construction of a new two-storey UTC in front of the ED.  There would be modest road diversions on both sides of the ED.</w:t>
      </w:r>
    </w:p>
    <w:p w:rsidR="004728E9" w:rsidRDefault="004728E9" w:rsidP="004728E9">
      <w:pPr>
        <w:rPr>
          <w:rFonts w:eastAsia="Times New Roman" w:cs="Times New Roman"/>
          <w:sz w:val="28"/>
          <w:szCs w:val="28"/>
          <w:lang w:eastAsia="en-GB"/>
        </w:rPr>
      </w:pPr>
      <w:r>
        <w:rPr>
          <w:rFonts w:eastAsia="Times New Roman" w:cs="Times New Roman"/>
          <w:szCs w:val="24"/>
          <w:lang w:eastAsia="en-GB"/>
        </w:rPr>
        <w:t xml:space="preserve">  </w:t>
      </w:r>
    </w:p>
    <w:p w:rsidR="004728E9" w:rsidRDefault="004728E9" w:rsidP="004728E9">
      <w:pPr>
        <w:jc w:val="center"/>
        <w:rPr>
          <w:rFonts w:eastAsia="Times New Roman" w:cs="Arial"/>
          <w:b/>
          <w:bCs/>
          <w:sz w:val="22"/>
          <w:lang w:eastAsia="en-GB"/>
        </w:rPr>
      </w:pPr>
      <w:r>
        <w:rPr>
          <w:rFonts w:eastAsia="Times New Roman" w:cs="Times New Roman"/>
          <w:noProof/>
          <w:szCs w:val="24"/>
          <w:lang w:eastAsia="en-GB"/>
        </w:rPr>
        <w:drawing>
          <wp:inline distT="0" distB="0" distL="0" distR="0">
            <wp:extent cx="4429125" cy="4667250"/>
            <wp:effectExtent l="0" t="0" r="952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29125" cy="4667250"/>
                    </a:xfrm>
                    <a:prstGeom prst="rect">
                      <a:avLst/>
                    </a:prstGeom>
                    <a:noFill/>
                    <a:ln>
                      <a:noFill/>
                    </a:ln>
                  </pic:spPr>
                </pic:pic>
              </a:graphicData>
            </a:graphic>
          </wp:inline>
        </w:drawing>
      </w:r>
    </w:p>
    <w:p w:rsidR="004728E9" w:rsidRDefault="004728E9" w:rsidP="004728E9">
      <w:pPr>
        <w:autoSpaceDE w:val="0"/>
        <w:autoSpaceDN w:val="0"/>
        <w:adjustRightInd w:val="0"/>
        <w:rPr>
          <w:rFonts w:eastAsia="Times New Roman" w:cs="Arial"/>
          <w:b/>
          <w:bCs/>
          <w:sz w:val="22"/>
          <w:lang w:eastAsia="en-GB"/>
        </w:rPr>
      </w:pPr>
    </w:p>
    <w:p w:rsidR="004728E9" w:rsidRDefault="004728E9" w:rsidP="004728E9">
      <w:pPr>
        <w:autoSpaceDE w:val="0"/>
        <w:autoSpaceDN w:val="0"/>
        <w:adjustRightInd w:val="0"/>
        <w:rPr>
          <w:rFonts w:eastAsia="Times New Roman" w:cs="Arial"/>
          <w:b/>
          <w:bCs/>
          <w:sz w:val="22"/>
          <w:lang w:eastAsia="en-GB"/>
        </w:rPr>
      </w:pPr>
    </w:p>
    <w:tbl>
      <w:tblPr>
        <w:tblStyle w:val="PlainTable11"/>
        <w:tblW w:w="0" w:type="auto"/>
        <w:tblInd w:w="0" w:type="dxa"/>
        <w:tblLook w:val="04A0" w:firstRow="1" w:lastRow="0" w:firstColumn="1" w:lastColumn="0" w:noHBand="0" w:noVBand="1"/>
      </w:tblPr>
      <w:tblGrid>
        <w:gridCol w:w="2118"/>
        <w:gridCol w:w="6898"/>
      </w:tblGrid>
      <w:tr w:rsidR="004728E9" w:rsidTr="00472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Strengths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No need to decant staff from existing accommodation and could phase work around the existing services;</w:t>
            </w:r>
          </w:p>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Lowest cost option</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Weaknesses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Does not support reconfiguration of the existing ED or improve diagnostic / pathology services.</w:t>
            </w:r>
          </w:p>
        </w:tc>
      </w:tr>
      <w:tr w:rsidR="004728E9" w:rsidTr="004728E9">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Opportunities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 xml:space="preserve">Does provide a UTC and improved </w:t>
            </w:r>
            <w:proofErr w:type="spellStart"/>
            <w:r>
              <w:rPr>
                <w:rFonts w:cs="Arial"/>
                <w:bCs/>
                <w:sz w:val="22"/>
                <w:lang w:eastAsia="en-GB"/>
              </w:rPr>
              <w:t>resus</w:t>
            </w:r>
            <w:proofErr w:type="spellEnd"/>
            <w:r>
              <w:rPr>
                <w:rFonts w:cs="Arial"/>
                <w:bCs/>
                <w:sz w:val="22"/>
                <w:lang w:eastAsia="en-GB"/>
              </w:rPr>
              <w:t xml:space="preserve"> and as a result would improve patient outcomes to an extent</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Threats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Requires road diversions, albeit limited, on both the east and south sides of the building.</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“Land locks” the ED between existing services and the road extensions – no scope for further extension without further road moves</w:t>
            </w:r>
          </w:p>
        </w:tc>
      </w:tr>
    </w:tbl>
    <w:p w:rsidR="004728E9" w:rsidRDefault="004728E9" w:rsidP="004728E9">
      <w:pPr>
        <w:rPr>
          <w:rFonts w:eastAsia="Times New Roman" w:cs="Arial"/>
          <w:b/>
          <w:bCs/>
          <w:sz w:val="22"/>
          <w:lang w:eastAsia="en-GB"/>
        </w:rPr>
      </w:pPr>
    </w:p>
    <w:p w:rsidR="004728E9" w:rsidRDefault="004728E9" w:rsidP="004728E9">
      <w:pPr>
        <w:rPr>
          <w:rFonts w:ascii="Calibri" w:eastAsia="Times New Roman" w:hAnsi="Calibri" w:cs="Times New Roman"/>
          <w:color w:val="5A5A5A"/>
          <w:spacing w:val="15"/>
          <w:sz w:val="28"/>
          <w:szCs w:val="28"/>
          <w:lang w:eastAsia="en-GB"/>
        </w:rPr>
      </w:pPr>
      <w:r>
        <w:rPr>
          <w:rFonts w:eastAsia="Times New Roman" w:cs="Times New Roman"/>
          <w:sz w:val="28"/>
          <w:szCs w:val="28"/>
          <w:lang w:eastAsia="en-GB"/>
        </w:rPr>
        <w:lastRenderedPageBreak/>
        <w:br w:type="page"/>
      </w:r>
    </w:p>
    <w:p w:rsidR="004728E9" w:rsidRDefault="004728E9" w:rsidP="004728E9">
      <w:pPr>
        <w:spacing w:after="160"/>
        <w:rPr>
          <w:rFonts w:ascii="Calibri" w:eastAsia="Times New Roman" w:hAnsi="Calibri" w:cs="Times New Roman"/>
          <w:color w:val="5A5A5A"/>
          <w:spacing w:val="15"/>
          <w:sz w:val="28"/>
          <w:szCs w:val="28"/>
          <w:lang w:eastAsia="en-GB"/>
        </w:rPr>
      </w:pPr>
      <w:bookmarkStart w:id="47" w:name="_Toc76551205"/>
      <w:bookmarkStart w:id="48" w:name="_Toc36214680"/>
      <w:r>
        <w:rPr>
          <w:rFonts w:ascii="Calibri" w:eastAsia="Times New Roman" w:hAnsi="Calibri" w:cs="Times New Roman"/>
          <w:color w:val="5A5A5A"/>
          <w:spacing w:val="15"/>
          <w:sz w:val="28"/>
          <w:szCs w:val="28"/>
          <w:lang w:eastAsia="en-GB"/>
        </w:rPr>
        <w:lastRenderedPageBreak/>
        <w:t>Option 2 – do maximum</w:t>
      </w:r>
      <w:bookmarkEnd w:id="47"/>
      <w:bookmarkEnd w:id="48"/>
    </w:p>
    <w:p w:rsidR="004728E9" w:rsidRDefault="004728E9" w:rsidP="004728E9">
      <w:pPr>
        <w:jc w:val="both"/>
        <w:rPr>
          <w:rFonts w:eastAsia="Times New Roman" w:cs="Times New Roman"/>
          <w:sz w:val="22"/>
          <w:lang w:eastAsia="en-GB"/>
        </w:rPr>
      </w:pPr>
      <w:r>
        <w:rPr>
          <w:rFonts w:eastAsia="Times New Roman" w:cs="Times New Roman"/>
          <w:sz w:val="22"/>
          <w:lang w:eastAsia="en-GB"/>
        </w:rPr>
        <w:t xml:space="preserve">This option effectively described the two original strategic outline cases.  A new build </w:t>
      </w:r>
      <w:proofErr w:type="spellStart"/>
      <w:r>
        <w:rPr>
          <w:rFonts w:eastAsia="Times New Roman" w:cs="Times New Roman"/>
          <w:sz w:val="22"/>
          <w:lang w:eastAsia="en-GB"/>
        </w:rPr>
        <w:t>resus</w:t>
      </w:r>
      <w:proofErr w:type="spellEnd"/>
      <w:r>
        <w:rPr>
          <w:rFonts w:eastAsia="Times New Roman" w:cs="Times New Roman"/>
          <w:sz w:val="22"/>
          <w:lang w:eastAsia="en-GB"/>
        </w:rPr>
        <w:t xml:space="preserve"> extension with full road moves to the south and a new build two-storey UTC extension out from the existing ED.</w:t>
      </w:r>
    </w:p>
    <w:p w:rsidR="004728E9" w:rsidRDefault="004728E9" w:rsidP="004728E9">
      <w:pPr>
        <w:rPr>
          <w:rFonts w:eastAsia="Times New Roman" w:cs="Times New Roman"/>
          <w:sz w:val="22"/>
          <w:lang w:eastAsia="en-GB"/>
        </w:rPr>
      </w:pPr>
    </w:p>
    <w:p w:rsidR="004728E9" w:rsidRDefault="004728E9" w:rsidP="004728E9">
      <w:pPr>
        <w:jc w:val="center"/>
        <w:rPr>
          <w:rFonts w:eastAsia="Times New Roman" w:cs="Times New Roman"/>
          <w:szCs w:val="24"/>
          <w:lang w:eastAsia="en-GB"/>
        </w:rPr>
      </w:pPr>
      <w:r>
        <w:rPr>
          <w:rFonts w:eastAsia="Times New Roman" w:cs="Times New Roman"/>
          <w:noProof/>
          <w:szCs w:val="24"/>
          <w:lang w:eastAsia="en-GB"/>
        </w:rPr>
        <w:drawing>
          <wp:inline distT="0" distB="0" distL="0" distR="0">
            <wp:extent cx="4371975" cy="4676775"/>
            <wp:effectExtent l="0" t="0" r="9525"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71975" cy="4676775"/>
                    </a:xfrm>
                    <a:prstGeom prst="rect">
                      <a:avLst/>
                    </a:prstGeom>
                    <a:noFill/>
                    <a:ln>
                      <a:noFill/>
                    </a:ln>
                  </pic:spPr>
                </pic:pic>
              </a:graphicData>
            </a:graphic>
          </wp:inline>
        </w:drawing>
      </w:r>
    </w:p>
    <w:p w:rsidR="004728E9" w:rsidRDefault="004728E9" w:rsidP="004728E9">
      <w:pPr>
        <w:jc w:val="center"/>
        <w:rPr>
          <w:rFonts w:eastAsia="Times New Roman" w:cs="Times New Roman"/>
          <w:szCs w:val="24"/>
          <w:lang w:eastAsia="en-GB"/>
        </w:rPr>
      </w:pPr>
    </w:p>
    <w:tbl>
      <w:tblPr>
        <w:tblStyle w:val="PlainTable11"/>
        <w:tblW w:w="0" w:type="auto"/>
        <w:tblInd w:w="0" w:type="dxa"/>
        <w:tblLook w:val="04A0" w:firstRow="1" w:lastRow="0" w:firstColumn="1" w:lastColumn="0" w:noHBand="0" w:noVBand="1"/>
      </w:tblPr>
      <w:tblGrid>
        <w:gridCol w:w="2118"/>
        <w:gridCol w:w="6898"/>
      </w:tblGrid>
      <w:tr w:rsidR="004728E9" w:rsidTr="00472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Strengths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No need to decant staff from existing accommodation and could phase work around the existing services</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Weaknesses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Does not support reconfiguration of the existing ED or improve diagnostic / pathology services</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High cost option</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Poor connectivity between ED and UTC</w:t>
            </w:r>
          </w:p>
        </w:tc>
      </w:tr>
      <w:tr w:rsidR="004728E9" w:rsidTr="004728E9">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Opportunities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 xml:space="preserve">Does provide a UTC and improved </w:t>
            </w:r>
            <w:proofErr w:type="spellStart"/>
            <w:r>
              <w:rPr>
                <w:rFonts w:cs="Arial"/>
                <w:bCs/>
                <w:sz w:val="22"/>
                <w:lang w:eastAsia="en-GB"/>
              </w:rPr>
              <w:t>resus</w:t>
            </w:r>
            <w:proofErr w:type="spellEnd"/>
            <w:r>
              <w:rPr>
                <w:rFonts w:cs="Arial"/>
                <w:bCs/>
                <w:sz w:val="22"/>
                <w:lang w:eastAsia="en-GB"/>
              </w:rPr>
              <w:t xml:space="preserve"> and as a result would improve patient outcomes to an extent</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Threats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Extensive road diversions on both the east and south sides of the building.</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“Land locks” the ED between existing services and the road extensions – no scope for further extension without further road moves</w:t>
            </w:r>
          </w:p>
        </w:tc>
      </w:tr>
    </w:tbl>
    <w:p w:rsidR="004728E9" w:rsidRDefault="004728E9" w:rsidP="004728E9">
      <w:pPr>
        <w:rPr>
          <w:rFonts w:eastAsia="Times New Roman" w:cs="Times New Roman"/>
          <w:szCs w:val="24"/>
          <w:lang w:eastAsia="en-GB"/>
        </w:rPr>
      </w:pPr>
    </w:p>
    <w:p w:rsidR="004728E9" w:rsidRDefault="004728E9" w:rsidP="004728E9">
      <w:pPr>
        <w:rPr>
          <w:rFonts w:eastAsia="Times New Roman" w:cs="Times New Roman"/>
          <w:szCs w:val="24"/>
          <w:lang w:eastAsia="en-GB"/>
        </w:rPr>
      </w:pPr>
      <w:r>
        <w:rPr>
          <w:rFonts w:eastAsia="Times New Roman" w:cs="Times New Roman"/>
          <w:szCs w:val="24"/>
          <w:lang w:eastAsia="en-GB"/>
        </w:rPr>
        <w:br w:type="page"/>
      </w:r>
    </w:p>
    <w:p w:rsidR="004728E9" w:rsidRDefault="004728E9" w:rsidP="004728E9">
      <w:pPr>
        <w:spacing w:after="160"/>
        <w:rPr>
          <w:rFonts w:ascii="Calibri" w:eastAsia="Times New Roman" w:hAnsi="Calibri" w:cs="Times New Roman"/>
          <w:color w:val="5A5A5A"/>
          <w:spacing w:val="15"/>
          <w:sz w:val="28"/>
          <w:szCs w:val="28"/>
          <w:lang w:eastAsia="en-GB"/>
        </w:rPr>
      </w:pPr>
      <w:bookmarkStart w:id="49" w:name="_Toc76551206"/>
      <w:bookmarkStart w:id="50" w:name="_Toc36214681"/>
      <w:r>
        <w:rPr>
          <w:rFonts w:ascii="Calibri" w:eastAsia="Times New Roman" w:hAnsi="Calibri" w:cs="Times New Roman"/>
          <w:color w:val="5A5A5A"/>
          <w:spacing w:val="15"/>
          <w:sz w:val="28"/>
          <w:szCs w:val="28"/>
          <w:lang w:eastAsia="en-GB"/>
        </w:rPr>
        <w:lastRenderedPageBreak/>
        <w:t>Option 3 – intermediate option</w:t>
      </w:r>
      <w:bookmarkEnd w:id="49"/>
      <w:bookmarkEnd w:id="50"/>
    </w:p>
    <w:p w:rsidR="004728E9" w:rsidRDefault="004728E9" w:rsidP="004728E9">
      <w:pPr>
        <w:jc w:val="both"/>
        <w:rPr>
          <w:rFonts w:eastAsia="Times New Roman" w:cs="Times New Roman"/>
          <w:szCs w:val="24"/>
          <w:lang w:eastAsia="en-GB"/>
        </w:rPr>
      </w:pPr>
      <w:r>
        <w:rPr>
          <w:rFonts w:eastAsia="Times New Roman" w:cs="Times New Roman"/>
          <w:szCs w:val="24"/>
          <w:lang w:eastAsia="en-GB"/>
        </w:rPr>
        <w:t xml:space="preserve">To the north of the existing ED there is </w:t>
      </w:r>
      <w:proofErr w:type="gramStart"/>
      <w:r>
        <w:rPr>
          <w:rFonts w:eastAsia="Times New Roman" w:cs="Times New Roman"/>
          <w:szCs w:val="24"/>
          <w:lang w:eastAsia="en-GB"/>
        </w:rPr>
        <w:t>a</w:t>
      </w:r>
      <w:proofErr w:type="gramEnd"/>
      <w:r>
        <w:rPr>
          <w:rFonts w:eastAsia="Times New Roman" w:cs="Times New Roman"/>
          <w:szCs w:val="24"/>
          <w:lang w:eastAsia="en-GB"/>
        </w:rPr>
        <w:t xml:space="preserve"> H-shaped building which currently houses services such as medical physics, cardiology and orthodontics.  This building has significant backlog maintenance issues as set out in the ULHT estates strategy.  The cost of these backlog issues would offset the cost to decant and demolish this building making this an option to reduce potential road works to expand the building.  Several options look at this.</w:t>
      </w:r>
    </w:p>
    <w:p w:rsidR="004728E9" w:rsidRDefault="004728E9" w:rsidP="004728E9">
      <w:pPr>
        <w:rPr>
          <w:rFonts w:eastAsia="Times New Roman" w:cs="Times New Roman"/>
          <w:szCs w:val="24"/>
          <w:lang w:eastAsia="en-GB"/>
        </w:rPr>
      </w:pPr>
    </w:p>
    <w:p w:rsidR="004728E9" w:rsidRDefault="004728E9" w:rsidP="004728E9">
      <w:pPr>
        <w:jc w:val="both"/>
        <w:rPr>
          <w:rFonts w:eastAsia="Times New Roman" w:cs="Times New Roman"/>
          <w:szCs w:val="24"/>
          <w:lang w:eastAsia="en-GB"/>
        </w:rPr>
      </w:pPr>
      <w:r>
        <w:rPr>
          <w:rFonts w:eastAsia="Times New Roman" w:cs="Times New Roman"/>
          <w:szCs w:val="24"/>
          <w:lang w:eastAsia="en-GB"/>
        </w:rPr>
        <w:t>This option would involve decanting the H-block and using an additional courtyard space near OPD to create a space to move displaced staff into.  In the space of the demolished building a new two-storey extension for ED and UTC.  The UTC would sit where the existing ED is located as the front door.  There would be a small road diversion to the south of the ED.</w:t>
      </w:r>
    </w:p>
    <w:p w:rsidR="004728E9" w:rsidRDefault="004728E9" w:rsidP="004728E9">
      <w:pPr>
        <w:rPr>
          <w:rFonts w:eastAsia="Times New Roman" w:cs="Times New Roman"/>
          <w:szCs w:val="24"/>
          <w:lang w:eastAsia="en-GB"/>
        </w:rPr>
      </w:pPr>
    </w:p>
    <w:p w:rsidR="004728E9" w:rsidRDefault="004728E9" w:rsidP="004728E9">
      <w:pPr>
        <w:jc w:val="center"/>
        <w:rPr>
          <w:rFonts w:eastAsia="Times New Roman" w:cs="Times New Roman"/>
          <w:szCs w:val="24"/>
          <w:lang w:eastAsia="en-GB"/>
        </w:rPr>
      </w:pPr>
      <w:r>
        <w:rPr>
          <w:rFonts w:eastAsia="Times New Roman" w:cs="Times New Roman"/>
          <w:noProof/>
          <w:szCs w:val="24"/>
          <w:lang w:eastAsia="en-GB"/>
        </w:rPr>
        <w:drawing>
          <wp:inline distT="0" distB="0" distL="0" distR="0">
            <wp:extent cx="4181475" cy="4314825"/>
            <wp:effectExtent l="0" t="0" r="9525"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81475" cy="4314825"/>
                    </a:xfrm>
                    <a:prstGeom prst="rect">
                      <a:avLst/>
                    </a:prstGeom>
                    <a:noFill/>
                    <a:ln>
                      <a:noFill/>
                    </a:ln>
                  </pic:spPr>
                </pic:pic>
              </a:graphicData>
            </a:graphic>
          </wp:inline>
        </w:drawing>
      </w:r>
    </w:p>
    <w:p w:rsidR="004728E9" w:rsidRDefault="004728E9" w:rsidP="004728E9">
      <w:pPr>
        <w:jc w:val="center"/>
        <w:rPr>
          <w:rFonts w:eastAsia="Times New Roman" w:cs="Times New Roman"/>
          <w:szCs w:val="24"/>
          <w:lang w:eastAsia="en-GB"/>
        </w:rPr>
      </w:pPr>
    </w:p>
    <w:tbl>
      <w:tblPr>
        <w:tblStyle w:val="PlainTable11"/>
        <w:tblW w:w="0" w:type="auto"/>
        <w:tblInd w:w="0" w:type="dxa"/>
        <w:tblLook w:val="04A0" w:firstRow="1" w:lastRow="0" w:firstColumn="1" w:lastColumn="0" w:noHBand="0" w:noVBand="1"/>
      </w:tblPr>
      <w:tblGrid>
        <w:gridCol w:w="2119"/>
        <w:gridCol w:w="6897"/>
      </w:tblGrid>
      <w:tr w:rsidR="004728E9" w:rsidTr="00472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Strengths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 xml:space="preserve">No road diversions to the front of ED </w:t>
            </w:r>
          </w:p>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No disruption to existing services during construction</w:t>
            </w:r>
          </w:p>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Would contain most of the core and nice to have elements</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Weaknesses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Road diversions remain to the south</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Although there is expansion of the existing ED it is limited and would not allow expansion without future road diversion</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Design would be constrained by having to be “shoe-horned” into the space left from the H block</w:t>
            </w:r>
          </w:p>
        </w:tc>
      </w:tr>
      <w:tr w:rsidR="004728E9" w:rsidTr="004728E9">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lastRenderedPageBreak/>
              <w:t>Opportunities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Demolition of H block removes backlog maintenance issues (offset cost of build)</w:t>
            </w:r>
          </w:p>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Good connectivity between ED and UTC – promoting staff integration and new ways of working</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Threats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Requires decant of existing services in the H block.  Whilst possible to do, needs careful planning to minimise disruption to clinical services</w:t>
            </w:r>
          </w:p>
        </w:tc>
      </w:tr>
    </w:tbl>
    <w:p w:rsidR="004728E9" w:rsidRDefault="004728E9" w:rsidP="004728E9">
      <w:pPr>
        <w:spacing w:after="160"/>
        <w:rPr>
          <w:rFonts w:ascii="Calibri" w:eastAsia="Times New Roman" w:hAnsi="Calibri" w:cs="Times New Roman"/>
          <w:color w:val="5A5A5A"/>
          <w:spacing w:val="15"/>
          <w:sz w:val="28"/>
          <w:szCs w:val="28"/>
          <w:lang w:eastAsia="en-GB"/>
        </w:rPr>
      </w:pPr>
      <w:r>
        <w:rPr>
          <w:rFonts w:ascii="Calibri" w:eastAsia="Times New Roman" w:hAnsi="Calibri" w:cs="Times New Roman"/>
          <w:color w:val="5A5A5A"/>
          <w:spacing w:val="15"/>
          <w:sz w:val="22"/>
          <w:lang w:eastAsia="en-GB"/>
        </w:rPr>
        <w:br w:type="page"/>
      </w:r>
      <w:bookmarkStart w:id="51" w:name="_Toc76551207"/>
      <w:bookmarkStart w:id="52" w:name="_Toc36214682"/>
      <w:r>
        <w:rPr>
          <w:rFonts w:ascii="Calibri" w:eastAsia="Times New Roman" w:hAnsi="Calibri" w:cs="Times New Roman"/>
          <w:color w:val="5A5A5A"/>
          <w:spacing w:val="15"/>
          <w:sz w:val="28"/>
          <w:szCs w:val="28"/>
          <w:lang w:eastAsia="en-GB"/>
        </w:rPr>
        <w:lastRenderedPageBreak/>
        <w:t>Option 4 – intermediate option</w:t>
      </w:r>
      <w:bookmarkEnd w:id="51"/>
      <w:bookmarkEnd w:id="52"/>
    </w:p>
    <w:p w:rsidR="004728E9" w:rsidRDefault="004728E9" w:rsidP="004728E9">
      <w:pPr>
        <w:spacing w:after="160"/>
        <w:rPr>
          <w:rFonts w:ascii="Calibri" w:eastAsia="Times New Roman" w:hAnsi="Calibri" w:cs="Times New Roman"/>
          <w:color w:val="5A5A5A"/>
          <w:spacing w:val="15"/>
          <w:sz w:val="22"/>
          <w:lang w:eastAsia="en-GB"/>
        </w:rPr>
      </w:pPr>
    </w:p>
    <w:p w:rsidR="004728E9" w:rsidRDefault="004728E9" w:rsidP="004728E9">
      <w:pPr>
        <w:jc w:val="both"/>
        <w:rPr>
          <w:rFonts w:eastAsia="Times New Roman" w:cs="Times New Roman"/>
          <w:szCs w:val="24"/>
          <w:lang w:eastAsia="en-GB"/>
        </w:rPr>
      </w:pPr>
      <w:r>
        <w:rPr>
          <w:rFonts w:eastAsia="Times New Roman" w:cs="Times New Roman"/>
          <w:szCs w:val="24"/>
          <w:lang w:eastAsia="en-GB"/>
        </w:rPr>
        <w:t>This option also utilises the “H-block” but does not expand outwards from ED to the south.  Again, a two storey extension with ED moving to the new building and UTC taking over the existing ED space.  The first floor would be used for the office space, training and storage as well as some services such as clinical assessment.</w:t>
      </w:r>
    </w:p>
    <w:p w:rsidR="004728E9" w:rsidRDefault="004728E9" w:rsidP="004728E9">
      <w:pPr>
        <w:spacing w:after="160"/>
        <w:rPr>
          <w:rFonts w:ascii="Calibri" w:eastAsia="Times New Roman" w:hAnsi="Calibri" w:cs="Times New Roman"/>
          <w:color w:val="5A5A5A"/>
          <w:spacing w:val="15"/>
          <w:sz w:val="22"/>
          <w:lang w:eastAsia="en-GB"/>
        </w:rPr>
      </w:pPr>
    </w:p>
    <w:p w:rsidR="004728E9" w:rsidRDefault="004728E9" w:rsidP="004728E9">
      <w:pPr>
        <w:jc w:val="center"/>
        <w:rPr>
          <w:rFonts w:eastAsia="Times New Roman" w:cs="Times New Roman"/>
          <w:szCs w:val="24"/>
          <w:lang w:eastAsia="en-GB"/>
        </w:rPr>
      </w:pPr>
      <w:r>
        <w:rPr>
          <w:rFonts w:eastAsia="Times New Roman" w:cs="Times New Roman"/>
          <w:noProof/>
          <w:szCs w:val="24"/>
          <w:lang w:eastAsia="en-GB"/>
        </w:rPr>
        <w:drawing>
          <wp:inline distT="0" distB="0" distL="0" distR="0">
            <wp:extent cx="3857625" cy="4305300"/>
            <wp:effectExtent l="0" t="0" r="952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57625" cy="4305300"/>
                    </a:xfrm>
                    <a:prstGeom prst="rect">
                      <a:avLst/>
                    </a:prstGeom>
                    <a:noFill/>
                    <a:ln>
                      <a:noFill/>
                    </a:ln>
                  </pic:spPr>
                </pic:pic>
              </a:graphicData>
            </a:graphic>
          </wp:inline>
        </w:drawing>
      </w:r>
    </w:p>
    <w:p w:rsidR="004728E9" w:rsidRDefault="004728E9" w:rsidP="004728E9">
      <w:pPr>
        <w:jc w:val="center"/>
        <w:rPr>
          <w:rFonts w:eastAsia="Times New Roman" w:cs="Times New Roman"/>
          <w:szCs w:val="24"/>
          <w:lang w:eastAsia="en-GB"/>
        </w:rPr>
      </w:pPr>
    </w:p>
    <w:tbl>
      <w:tblPr>
        <w:tblStyle w:val="PlainTable11"/>
        <w:tblW w:w="0" w:type="auto"/>
        <w:tblInd w:w="0" w:type="dxa"/>
        <w:tblLook w:val="04A0" w:firstRow="1" w:lastRow="0" w:firstColumn="1" w:lastColumn="0" w:noHBand="0" w:noVBand="1"/>
      </w:tblPr>
      <w:tblGrid>
        <w:gridCol w:w="2119"/>
        <w:gridCol w:w="6897"/>
      </w:tblGrid>
      <w:tr w:rsidR="004728E9" w:rsidTr="00472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Strengths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No road diversions</w:t>
            </w:r>
          </w:p>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No disruption to existing services during construction</w:t>
            </w:r>
          </w:p>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Financially realistic in view of less building work and no road moves</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Weaknesses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Reduced footprint and expansion of the existing ED is limited</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Does not allow expansion without future road diversion</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Design would be constrained by having to be “shoe-horned” into the space left from the H block</w:t>
            </w:r>
          </w:p>
        </w:tc>
      </w:tr>
      <w:tr w:rsidR="004728E9" w:rsidTr="004728E9">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Opportunities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Demolition of H block removes backlog maintenance issues (offset cost of build)</w:t>
            </w:r>
          </w:p>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Good connectivity between ED and UTC – promoting staff integration and new ways of working</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Threats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Requires decant of existing services in the H block.  Whilst possible to do, needs careful planning to minimise disruption to clinical services</w:t>
            </w:r>
          </w:p>
        </w:tc>
      </w:tr>
    </w:tbl>
    <w:p w:rsidR="004728E9" w:rsidRDefault="004728E9" w:rsidP="004728E9">
      <w:pPr>
        <w:spacing w:after="160"/>
        <w:rPr>
          <w:rFonts w:ascii="Calibri" w:eastAsia="Times New Roman" w:hAnsi="Calibri" w:cs="Times New Roman"/>
          <w:color w:val="5A5A5A"/>
          <w:spacing w:val="15"/>
          <w:sz w:val="28"/>
          <w:szCs w:val="28"/>
          <w:lang w:eastAsia="en-GB"/>
        </w:rPr>
      </w:pPr>
      <w:r>
        <w:rPr>
          <w:rFonts w:ascii="Calibri" w:eastAsia="Times New Roman" w:hAnsi="Calibri" w:cs="Times New Roman"/>
          <w:color w:val="5A5A5A"/>
          <w:spacing w:val="15"/>
          <w:sz w:val="22"/>
          <w:lang w:eastAsia="en-GB"/>
        </w:rPr>
        <w:br w:type="page"/>
      </w:r>
      <w:bookmarkStart w:id="53" w:name="_Toc76551208"/>
      <w:bookmarkStart w:id="54" w:name="_Toc36214683"/>
      <w:r>
        <w:rPr>
          <w:rFonts w:ascii="Calibri" w:eastAsia="Times New Roman" w:hAnsi="Calibri" w:cs="Times New Roman"/>
          <w:color w:val="5A5A5A"/>
          <w:spacing w:val="15"/>
          <w:sz w:val="28"/>
          <w:szCs w:val="28"/>
          <w:lang w:eastAsia="en-GB"/>
        </w:rPr>
        <w:lastRenderedPageBreak/>
        <w:t>Option 5 – intermediate + option</w:t>
      </w:r>
      <w:bookmarkEnd w:id="53"/>
      <w:bookmarkEnd w:id="54"/>
    </w:p>
    <w:p w:rsidR="004728E9" w:rsidRDefault="004728E9" w:rsidP="004728E9">
      <w:pPr>
        <w:jc w:val="both"/>
        <w:rPr>
          <w:rFonts w:eastAsia="Times New Roman" w:cs="Times New Roman"/>
          <w:szCs w:val="24"/>
          <w:lang w:eastAsia="en-GB"/>
        </w:rPr>
      </w:pPr>
      <w:r>
        <w:rPr>
          <w:rFonts w:eastAsia="Times New Roman" w:cs="Times New Roman"/>
          <w:szCs w:val="24"/>
          <w:lang w:eastAsia="en-GB"/>
        </w:rPr>
        <w:t xml:space="preserve">Options for increased footprint were also considered (intermediate + options).  This option includes the “H-block” as a new UTC and a larger road diversion to the south of ED which would allow a </w:t>
      </w:r>
      <w:proofErr w:type="spellStart"/>
      <w:r>
        <w:rPr>
          <w:rFonts w:eastAsia="Times New Roman" w:cs="Times New Roman"/>
          <w:szCs w:val="24"/>
          <w:lang w:eastAsia="en-GB"/>
        </w:rPr>
        <w:t>resus</w:t>
      </w:r>
      <w:proofErr w:type="spellEnd"/>
      <w:r>
        <w:rPr>
          <w:rFonts w:eastAsia="Times New Roman" w:cs="Times New Roman"/>
          <w:szCs w:val="24"/>
          <w:lang w:eastAsia="en-GB"/>
        </w:rPr>
        <w:t xml:space="preserve"> and office / training extension to the south and west of the existing building.  </w:t>
      </w:r>
    </w:p>
    <w:p w:rsidR="004728E9" w:rsidRDefault="004728E9" w:rsidP="004728E9">
      <w:pPr>
        <w:jc w:val="both"/>
        <w:rPr>
          <w:rFonts w:eastAsia="Times New Roman" w:cs="Times New Roman"/>
          <w:szCs w:val="24"/>
          <w:lang w:eastAsia="en-GB"/>
        </w:rPr>
      </w:pPr>
    </w:p>
    <w:p w:rsidR="004728E9" w:rsidRDefault="004728E9" w:rsidP="004728E9">
      <w:pPr>
        <w:jc w:val="center"/>
        <w:rPr>
          <w:rFonts w:eastAsia="Times New Roman" w:cs="Times New Roman"/>
          <w:szCs w:val="24"/>
          <w:lang w:eastAsia="en-GB"/>
        </w:rPr>
      </w:pPr>
      <w:r>
        <w:rPr>
          <w:rFonts w:eastAsia="Times New Roman" w:cs="Times New Roman"/>
          <w:noProof/>
          <w:szCs w:val="24"/>
          <w:lang w:eastAsia="en-GB"/>
        </w:rPr>
        <w:drawing>
          <wp:inline distT="0" distB="0" distL="0" distR="0">
            <wp:extent cx="3724275" cy="4400550"/>
            <wp:effectExtent l="0" t="0" r="952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24275" cy="4400550"/>
                    </a:xfrm>
                    <a:prstGeom prst="rect">
                      <a:avLst/>
                    </a:prstGeom>
                    <a:noFill/>
                    <a:ln>
                      <a:noFill/>
                    </a:ln>
                  </pic:spPr>
                </pic:pic>
              </a:graphicData>
            </a:graphic>
          </wp:inline>
        </w:drawing>
      </w:r>
    </w:p>
    <w:p w:rsidR="004728E9" w:rsidRDefault="004728E9" w:rsidP="004728E9">
      <w:pPr>
        <w:jc w:val="both"/>
        <w:rPr>
          <w:rFonts w:eastAsia="Times New Roman" w:cs="Times New Roman"/>
          <w:szCs w:val="24"/>
          <w:lang w:eastAsia="en-GB"/>
        </w:rPr>
      </w:pPr>
    </w:p>
    <w:p w:rsidR="004728E9" w:rsidRDefault="004728E9" w:rsidP="004728E9">
      <w:pPr>
        <w:jc w:val="both"/>
        <w:rPr>
          <w:rFonts w:eastAsia="Times New Roman" w:cs="Times New Roman"/>
          <w:szCs w:val="24"/>
          <w:lang w:eastAsia="en-GB"/>
        </w:rPr>
      </w:pPr>
      <w:r>
        <w:rPr>
          <w:rFonts w:eastAsia="Times New Roman" w:cs="Times New Roman"/>
          <w:szCs w:val="24"/>
          <w:lang w:eastAsia="en-GB"/>
        </w:rPr>
        <w:t xml:space="preserve"> </w:t>
      </w:r>
    </w:p>
    <w:tbl>
      <w:tblPr>
        <w:tblStyle w:val="PlainTable11"/>
        <w:tblW w:w="0" w:type="auto"/>
        <w:tblInd w:w="0" w:type="dxa"/>
        <w:tblLook w:val="04A0" w:firstRow="1" w:lastRow="0" w:firstColumn="1" w:lastColumn="0" w:noHBand="0" w:noVBand="1"/>
      </w:tblPr>
      <w:tblGrid>
        <w:gridCol w:w="2118"/>
        <w:gridCol w:w="6898"/>
      </w:tblGrid>
      <w:tr w:rsidR="004728E9" w:rsidTr="00472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Strengths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 xml:space="preserve">No road diversions to the front of ED </w:t>
            </w:r>
          </w:p>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No need to demolish the H-Block (although backlog maintenance issues remain)</w:t>
            </w:r>
          </w:p>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Contains core and desirable options</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Weaknesses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Work to improve majors in ED would have to be phased as no decant options</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Major road diversion to the south</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UTC accommodation would be constrained within the old H building</w:t>
            </w:r>
          </w:p>
        </w:tc>
      </w:tr>
      <w:tr w:rsidR="004728E9" w:rsidTr="004728E9">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Opportunities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Potential to expand out further without road works</w:t>
            </w:r>
          </w:p>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Good connectivity between ED and UTC – promoting staff integration and new ways of working</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Threats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Requires decant of existing services in the H block.  Whilst possible to do, needs careful planning to minimise disruption to clinical services</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Loss of car parking revenue</w:t>
            </w:r>
          </w:p>
        </w:tc>
      </w:tr>
    </w:tbl>
    <w:p w:rsidR="004728E9" w:rsidRDefault="004728E9" w:rsidP="004728E9">
      <w:pPr>
        <w:jc w:val="both"/>
        <w:rPr>
          <w:rFonts w:eastAsia="Times New Roman" w:cs="Times New Roman"/>
          <w:szCs w:val="24"/>
          <w:lang w:eastAsia="en-GB"/>
        </w:rPr>
      </w:pPr>
    </w:p>
    <w:p w:rsidR="004728E9" w:rsidRDefault="004728E9" w:rsidP="004728E9">
      <w:pPr>
        <w:spacing w:after="160"/>
        <w:rPr>
          <w:rFonts w:ascii="Calibri" w:eastAsia="Times New Roman" w:hAnsi="Calibri" w:cs="Times New Roman"/>
          <w:color w:val="5A5A5A"/>
          <w:spacing w:val="15"/>
          <w:sz w:val="28"/>
          <w:szCs w:val="28"/>
          <w:lang w:eastAsia="en-GB"/>
        </w:rPr>
      </w:pPr>
      <w:r>
        <w:rPr>
          <w:rFonts w:ascii="Calibri" w:eastAsia="Times New Roman" w:hAnsi="Calibri" w:cs="Times New Roman"/>
          <w:color w:val="5A5A5A"/>
          <w:spacing w:val="15"/>
          <w:sz w:val="22"/>
          <w:lang w:eastAsia="en-GB"/>
        </w:rPr>
        <w:br w:type="page"/>
      </w:r>
      <w:bookmarkStart w:id="55" w:name="_Toc76551209"/>
      <w:bookmarkStart w:id="56" w:name="_Toc36214684"/>
      <w:r>
        <w:rPr>
          <w:rFonts w:ascii="Calibri" w:eastAsia="Times New Roman" w:hAnsi="Calibri" w:cs="Times New Roman"/>
          <w:color w:val="5A5A5A"/>
          <w:spacing w:val="15"/>
          <w:sz w:val="28"/>
          <w:szCs w:val="28"/>
          <w:lang w:eastAsia="en-GB"/>
        </w:rPr>
        <w:lastRenderedPageBreak/>
        <w:t>Option 6 – intermediate + option</w:t>
      </w:r>
      <w:bookmarkEnd w:id="55"/>
      <w:bookmarkEnd w:id="56"/>
    </w:p>
    <w:p w:rsidR="004728E9" w:rsidRDefault="004728E9" w:rsidP="004728E9">
      <w:pPr>
        <w:jc w:val="both"/>
        <w:rPr>
          <w:rFonts w:eastAsia="Times New Roman" w:cs="Times New Roman"/>
          <w:szCs w:val="24"/>
          <w:lang w:eastAsia="en-GB"/>
        </w:rPr>
      </w:pPr>
      <w:r>
        <w:rPr>
          <w:rFonts w:eastAsia="Times New Roman" w:cs="Times New Roman"/>
          <w:szCs w:val="24"/>
          <w:lang w:eastAsia="en-GB"/>
        </w:rPr>
        <w:t xml:space="preserve">In this option staff would be decanted from the H block and the building demolished.  A new two-storey extension to the north of ED would contain the UTC.  Diversions to the south of the ED allow for the extension for </w:t>
      </w:r>
      <w:proofErr w:type="spellStart"/>
      <w:r>
        <w:rPr>
          <w:rFonts w:eastAsia="Times New Roman" w:cs="Times New Roman"/>
          <w:szCs w:val="24"/>
          <w:lang w:eastAsia="en-GB"/>
        </w:rPr>
        <w:t>resus</w:t>
      </w:r>
      <w:proofErr w:type="spellEnd"/>
      <w:r>
        <w:rPr>
          <w:rFonts w:eastAsia="Times New Roman" w:cs="Times New Roman"/>
          <w:szCs w:val="24"/>
          <w:lang w:eastAsia="en-GB"/>
        </w:rPr>
        <w:t xml:space="preserve"> as per option 5.</w:t>
      </w:r>
    </w:p>
    <w:p w:rsidR="004728E9" w:rsidRDefault="004728E9" w:rsidP="004728E9">
      <w:pPr>
        <w:rPr>
          <w:rFonts w:eastAsia="Times New Roman" w:cs="Times New Roman"/>
          <w:szCs w:val="24"/>
          <w:lang w:eastAsia="en-GB"/>
        </w:rPr>
      </w:pPr>
    </w:p>
    <w:p w:rsidR="004728E9" w:rsidRDefault="004728E9" w:rsidP="004728E9">
      <w:pPr>
        <w:jc w:val="center"/>
        <w:rPr>
          <w:rFonts w:eastAsia="Times New Roman" w:cs="Times New Roman"/>
          <w:szCs w:val="24"/>
          <w:lang w:eastAsia="en-GB"/>
        </w:rPr>
      </w:pPr>
      <w:r>
        <w:rPr>
          <w:rFonts w:eastAsia="Times New Roman" w:cs="Times New Roman"/>
          <w:noProof/>
          <w:szCs w:val="24"/>
          <w:lang w:eastAsia="en-GB"/>
        </w:rPr>
        <w:drawing>
          <wp:inline distT="0" distB="0" distL="0" distR="0">
            <wp:extent cx="3848100" cy="4314825"/>
            <wp:effectExtent l="0" t="0" r="0"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48100" cy="4314825"/>
                    </a:xfrm>
                    <a:prstGeom prst="rect">
                      <a:avLst/>
                    </a:prstGeom>
                    <a:noFill/>
                    <a:ln>
                      <a:noFill/>
                    </a:ln>
                  </pic:spPr>
                </pic:pic>
              </a:graphicData>
            </a:graphic>
          </wp:inline>
        </w:drawing>
      </w:r>
    </w:p>
    <w:p w:rsidR="004728E9" w:rsidRDefault="004728E9" w:rsidP="004728E9">
      <w:pPr>
        <w:jc w:val="center"/>
        <w:rPr>
          <w:rFonts w:eastAsia="Times New Roman" w:cs="Times New Roman"/>
          <w:szCs w:val="24"/>
          <w:lang w:eastAsia="en-GB"/>
        </w:rPr>
      </w:pPr>
    </w:p>
    <w:tbl>
      <w:tblPr>
        <w:tblStyle w:val="PlainTable11"/>
        <w:tblW w:w="0" w:type="auto"/>
        <w:tblInd w:w="0" w:type="dxa"/>
        <w:tblLook w:val="04A0" w:firstRow="1" w:lastRow="0" w:firstColumn="1" w:lastColumn="0" w:noHBand="0" w:noVBand="1"/>
      </w:tblPr>
      <w:tblGrid>
        <w:gridCol w:w="2119"/>
        <w:gridCol w:w="6897"/>
      </w:tblGrid>
      <w:tr w:rsidR="004728E9" w:rsidTr="00472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Strengths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 xml:space="preserve">No road diversions to the front of ED </w:t>
            </w:r>
          </w:p>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Contains core and desirable options</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Weaknesses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Work to improve majors in ED would have to be phased as no decant options</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Major road diversion to the south</w:t>
            </w:r>
          </w:p>
        </w:tc>
      </w:tr>
      <w:tr w:rsidR="004728E9" w:rsidTr="004728E9">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Opportunities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Potential to expand out further without road works</w:t>
            </w:r>
          </w:p>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Demolition of H block removes backlog maintenance issues (offset cost of build)</w:t>
            </w:r>
          </w:p>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Good connectivity between ED and UTC – promoting staff integration and new ways of working</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Threats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Requires decant of existing services in the H block.  Whilst possible to do, needs careful planning to minimise disruption to clinical services</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Loss of car parking revenue</w:t>
            </w:r>
          </w:p>
        </w:tc>
      </w:tr>
    </w:tbl>
    <w:p w:rsidR="004728E9" w:rsidRDefault="004728E9" w:rsidP="004728E9">
      <w:pPr>
        <w:jc w:val="center"/>
        <w:rPr>
          <w:rFonts w:eastAsia="Times New Roman" w:cs="Times New Roman"/>
          <w:szCs w:val="24"/>
          <w:lang w:eastAsia="en-GB"/>
        </w:rPr>
      </w:pPr>
    </w:p>
    <w:p w:rsidR="004728E9" w:rsidRDefault="004728E9" w:rsidP="004728E9">
      <w:pPr>
        <w:rPr>
          <w:rFonts w:eastAsia="Times New Roman" w:cs="Times New Roman"/>
          <w:szCs w:val="24"/>
          <w:lang w:eastAsia="en-GB"/>
        </w:rPr>
      </w:pPr>
      <w:r>
        <w:rPr>
          <w:rFonts w:eastAsia="Times New Roman" w:cs="Times New Roman"/>
          <w:szCs w:val="24"/>
          <w:lang w:eastAsia="en-GB"/>
        </w:rPr>
        <w:br w:type="page"/>
      </w:r>
    </w:p>
    <w:p w:rsidR="004728E9" w:rsidRDefault="004728E9" w:rsidP="004728E9">
      <w:pPr>
        <w:spacing w:after="160"/>
        <w:rPr>
          <w:rFonts w:ascii="Calibri" w:eastAsia="Times New Roman" w:hAnsi="Calibri" w:cs="Times New Roman"/>
          <w:color w:val="5A5A5A"/>
          <w:spacing w:val="15"/>
          <w:sz w:val="28"/>
          <w:szCs w:val="28"/>
          <w:lang w:eastAsia="en-GB"/>
        </w:rPr>
      </w:pPr>
      <w:bookmarkStart w:id="57" w:name="_Toc76551210"/>
      <w:bookmarkStart w:id="58" w:name="_Toc36214685"/>
      <w:r>
        <w:rPr>
          <w:rFonts w:ascii="Calibri" w:eastAsia="Times New Roman" w:hAnsi="Calibri" w:cs="Times New Roman"/>
          <w:color w:val="5A5A5A"/>
          <w:spacing w:val="15"/>
          <w:sz w:val="28"/>
          <w:szCs w:val="28"/>
          <w:lang w:eastAsia="en-GB"/>
        </w:rPr>
        <w:lastRenderedPageBreak/>
        <w:t>Option 7 – intermediate + option</w:t>
      </w:r>
      <w:bookmarkEnd w:id="57"/>
      <w:bookmarkEnd w:id="58"/>
    </w:p>
    <w:p w:rsidR="004728E9" w:rsidRDefault="004728E9" w:rsidP="004728E9">
      <w:pPr>
        <w:jc w:val="both"/>
        <w:rPr>
          <w:rFonts w:eastAsia="Times New Roman" w:cs="Times New Roman"/>
          <w:szCs w:val="24"/>
          <w:lang w:eastAsia="en-GB"/>
        </w:rPr>
      </w:pPr>
      <w:r>
        <w:rPr>
          <w:rFonts w:eastAsia="Times New Roman" w:cs="Times New Roman"/>
          <w:szCs w:val="24"/>
          <w:lang w:eastAsia="en-GB"/>
        </w:rPr>
        <w:t xml:space="preserve">Diversion of the existing roads to the south and east of the existing ED.  Construction of a new two-storey extension for a new UTC at the front of the ED and an extension to the south of the ED to expand majors and </w:t>
      </w:r>
      <w:proofErr w:type="spellStart"/>
      <w:r>
        <w:rPr>
          <w:rFonts w:eastAsia="Times New Roman" w:cs="Times New Roman"/>
          <w:szCs w:val="24"/>
          <w:lang w:eastAsia="en-GB"/>
        </w:rPr>
        <w:t>resus</w:t>
      </w:r>
      <w:proofErr w:type="spellEnd"/>
      <w:r>
        <w:rPr>
          <w:rFonts w:eastAsia="Times New Roman" w:cs="Times New Roman"/>
          <w:szCs w:val="24"/>
          <w:lang w:eastAsia="en-GB"/>
        </w:rPr>
        <w:t>.</w:t>
      </w:r>
    </w:p>
    <w:p w:rsidR="004728E9" w:rsidRDefault="004728E9" w:rsidP="004728E9">
      <w:pPr>
        <w:rPr>
          <w:rFonts w:eastAsia="Times New Roman" w:cs="Times New Roman"/>
          <w:szCs w:val="24"/>
          <w:lang w:eastAsia="en-GB"/>
        </w:rPr>
      </w:pPr>
    </w:p>
    <w:p w:rsidR="004728E9" w:rsidRDefault="004728E9" w:rsidP="004728E9">
      <w:pPr>
        <w:jc w:val="center"/>
        <w:rPr>
          <w:rFonts w:eastAsia="Times New Roman" w:cs="Times New Roman"/>
          <w:szCs w:val="24"/>
          <w:lang w:eastAsia="en-GB"/>
        </w:rPr>
      </w:pPr>
      <w:r>
        <w:rPr>
          <w:rFonts w:eastAsia="Times New Roman" w:cs="Times New Roman"/>
          <w:noProof/>
          <w:szCs w:val="24"/>
          <w:lang w:eastAsia="en-GB"/>
        </w:rPr>
        <w:drawing>
          <wp:inline distT="0" distB="0" distL="0" distR="0">
            <wp:extent cx="3810000" cy="428625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10000" cy="4286250"/>
                    </a:xfrm>
                    <a:prstGeom prst="rect">
                      <a:avLst/>
                    </a:prstGeom>
                    <a:noFill/>
                    <a:ln>
                      <a:noFill/>
                    </a:ln>
                  </pic:spPr>
                </pic:pic>
              </a:graphicData>
            </a:graphic>
          </wp:inline>
        </w:drawing>
      </w:r>
    </w:p>
    <w:p w:rsidR="004728E9" w:rsidRDefault="004728E9" w:rsidP="004728E9">
      <w:pPr>
        <w:jc w:val="center"/>
        <w:rPr>
          <w:rFonts w:eastAsia="Times New Roman" w:cs="Times New Roman"/>
          <w:szCs w:val="24"/>
          <w:lang w:eastAsia="en-GB"/>
        </w:rPr>
      </w:pPr>
    </w:p>
    <w:tbl>
      <w:tblPr>
        <w:tblStyle w:val="PlainTable11"/>
        <w:tblW w:w="0" w:type="auto"/>
        <w:tblInd w:w="0" w:type="dxa"/>
        <w:tblLook w:val="04A0" w:firstRow="1" w:lastRow="0" w:firstColumn="1" w:lastColumn="0" w:noHBand="0" w:noVBand="1"/>
      </w:tblPr>
      <w:tblGrid>
        <w:gridCol w:w="2118"/>
        <w:gridCol w:w="6898"/>
      </w:tblGrid>
      <w:tr w:rsidR="004728E9" w:rsidTr="00472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Strengths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 xml:space="preserve">No need to demolish any buildings / decant staff </w:t>
            </w:r>
          </w:p>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Contains core and desirable options</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Weaknesses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Work to improve majors in ED would have to be phased as no decant options</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Major road diversions</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 xml:space="preserve">Limited expansion of the existing ED – majors and </w:t>
            </w:r>
            <w:proofErr w:type="spellStart"/>
            <w:r>
              <w:rPr>
                <w:rFonts w:cs="Arial"/>
                <w:bCs/>
                <w:sz w:val="22"/>
                <w:lang w:eastAsia="en-GB"/>
              </w:rPr>
              <w:t>resus</w:t>
            </w:r>
            <w:proofErr w:type="spellEnd"/>
          </w:p>
        </w:tc>
      </w:tr>
      <w:tr w:rsidR="004728E9" w:rsidTr="004728E9">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Opportunities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No way into ED without going through UTC</w:t>
            </w:r>
          </w:p>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Good connectivity between ED and UTC – promoting staff integration and new ways of working</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Threats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Loss of car parking revenue</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Compromised ambulance drop off area</w:t>
            </w:r>
          </w:p>
        </w:tc>
      </w:tr>
    </w:tbl>
    <w:p w:rsidR="004728E9" w:rsidRDefault="004728E9" w:rsidP="004728E9">
      <w:pPr>
        <w:jc w:val="center"/>
        <w:rPr>
          <w:rFonts w:eastAsia="Times New Roman" w:cs="Times New Roman"/>
          <w:szCs w:val="24"/>
          <w:lang w:eastAsia="en-GB"/>
        </w:rPr>
      </w:pPr>
      <w:r>
        <w:rPr>
          <w:rFonts w:eastAsia="Times New Roman" w:cs="Times New Roman"/>
          <w:szCs w:val="24"/>
          <w:lang w:eastAsia="en-GB"/>
        </w:rPr>
        <w:br w:type="page"/>
      </w:r>
    </w:p>
    <w:p w:rsidR="004728E9" w:rsidRDefault="004728E9" w:rsidP="004728E9">
      <w:pPr>
        <w:spacing w:after="160"/>
        <w:rPr>
          <w:rFonts w:ascii="Calibri" w:eastAsia="Times New Roman" w:hAnsi="Calibri" w:cs="Times New Roman"/>
          <w:color w:val="5A5A5A"/>
          <w:spacing w:val="15"/>
          <w:sz w:val="28"/>
          <w:szCs w:val="28"/>
          <w:lang w:eastAsia="en-GB"/>
        </w:rPr>
      </w:pPr>
      <w:bookmarkStart w:id="59" w:name="_Toc76551211"/>
      <w:bookmarkStart w:id="60" w:name="_Toc36214686"/>
      <w:r>
        <w:rPr>
          <w:rFonts w:ascii="Calibri" w:eastAsia="Times New Roman" w:hAnsi="Calibri" w:cs="Times New Roman"/>
          <w:color w:val="5A5A5A"/>
          <w:spacing w:val="15"/>
          <w:sz w:val="28"/>
          <w:szCs w:val="28"/>
          <w:lang w:eastAsia="en-GB"/>
        </w:rPr>
        <w:lastRenderedPageBreak/>
        <w:t>Option 8 – intermediate + option</w:t>
      </w:r>
      <w:bookmarkEnd w:id="59"/>
      <w:bookmarkEnd w:id="60"/>
    </w:p>
    <w:p w:rsidR="004728E9" w:rsidRDefault="004728E9" w:rsidP="004728E9">
      <w:pPr>
        <w:jc w:val="both"/>
        <w:rPr>
          <w:rFonts w:eastAsia="Times New Roman" w:cs="Times New Roman"/>
          <w:szCs w:val="24"/>
          <w:lang w:eastAsia="en-GB"/>
        </w:rPr>
      </w:pPr>
      <w:r>
        <w:rPr>
          <w:rFonts w:eastAsia="Times New Roman" w:cs="Times New Roman"/>
          <w:szCs w:val="24"/>
          <w:lang w:eastAsia="en-GB"/>
        </w:rPr>
        <w:t xml:space="preserve">Decanting the H block and extending and refurbishing this building to create a new UTC.  New extensions east and southwest of the existing ED provide additional space to develop majors and </w:t>
      </w:r>
      <w:proofErr w:type="spellStart"/>
      <w:r>
        <w:rPr>
          <w:rFonts w:eastAsia="Times New Roman" w:cs="Times New Roman"/>
          <w:szCs w:val="24"/>
          <w:lang w:eastAsia="en-GB"/>
        </w:rPr>
        <w:t>resus</w:t>
      </w:r>
      <w:proofErr w:type="spellEnd"/>
      <w:r>
        <w:rPr>
          <w:rFonts w:eastAsia="Times New Roman" w:cs="Times New Roman"/>
          <w:szCs w:val="24"/>
          <w:lang w:eastAsia="en-GB"/>
        </w:rPr>
        <w:t>.</w:t>
      </w:r>
    </w:p>
    <w:p w:rsidR="004728E9" w:rsidRDefault="004728E9" w:rsidP="004728E9">
      <w:pPr>
        <w:rPr>
          <w:rFonts w:eastAsia="Times New Roman" w:cs="Times New Roman"/>
          <w:szCs w:val="24"/>
          <w:lang w:eastAsia="en-GB"/>
        </w:rPr>
      </w:pPr>
    </w:p>
    <w:p w:rsidR="004728E9" w:rsidRDefault="004728E9" w:rsidP="004728E9">
      <w:pPr>
        <w:rPr>
          <w:rFonts w:eastAsia="Times New Roman" w:cs="Times New Roman"/>
          <w:szCs w:val="24"/>
          <w:lang w:eastAsia="en-GB"/>
        </w:rPr>
      </w:pPr>
    </w:p>
    <w:p w:rsidR="004728E9" w:rsidRDefault="004728E9" w:rsidP="004728E9">
      <w:pPr>
        <w:jc w:val="center"/>
        <w:rPr>
          <w:rFonts w:eastAsia="Times New Roman" w:cs="Times New Roman"/>
          <w:szCs w:val="24"/>
          <w:lang w:eastAsia="en-GB"/>
        </w:rPr>
      </w:pPr>
      <w:r>
        <w:rPr>
          <w:rFonts w:eastAsia="Times New Roman" w:cs="Times New Roman"/>
          <w:noProof/>
          <w:szCs w:val="24"/>
          <w:lang w:eastAsia="en-GB"/>
        </w:rPr>
        <w:drawing>
          <wp:inline distT="0" distB="0" distL="0" distR="0">
            <wp:extent cx="3838575" cy="4295775"/>
            <wp:effectExtent l="0" t="0" r="9525"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38575" cy="4295775"/>
                    </a:xfrm>
                    <a:prstGeom prst="rect">
                      <a:avLst/>
                    </a:prstGeom>
                    <a:noFill/>
                    <a:ln>
                      <a:noFill/>
                    </a:ln>
                  </pic:spPr>
                </pic:pic>
              </a:graphicData>
            </a:graphic>
          </wp:inline>
        </w:drawing>
      </w:r>
    </w:p>
    <w:p w:rsidR="004728E9" w:rsidRDefault="004728E9" w:rsidP="004728E9">
      <w:pPr>
        <w:jc w:val="center"/>
        <w:rPr>
          <w:rFonts w:eastAsia="Times New Roman" w:cs="Times New Roman"/>
          <w:szCs w:val="24"/>
          <w:lang w:eastAsia="en-GB"/>
        </w:rPr>
      </w:pPr>
    </w:p>
    <w:tbl>
      <w:tblPr>
        <w:tblStyle w:val="PlainTable11"/>
        <w:tblW w:w="0" w:type="auto"/>
        <w:tblInd w:w="0" w:type="dxa"/>
        <w:tblLook w:val="04A0" w:firstRow="1" w:lastRow="0" w:firstColumn="1" w:lastColumn="0" w:noHBand="0" w:noVBand="1"/>
      </w:tblPr>
      <w:tblGrid>
        <w:gridCol w:w="2118"/>
        <w:gridCol w:w="6898"/>
      </w:tblGrid>
      <w:tr w:rsidR="004728E9" w:rsidTr="00472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Strengths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No need to demolish any buildings</w:t>
            </w:r>
          </w:p>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No significant road diversions</w:t>
            </w:r>
          </w:p>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Contains core and desirable options</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Weaknesses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Most of the UTC would have to be designed to fit in the H Block, constraining what could be designed.</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Work to improve majors in ED would have to be phased as no decant options with limited expansion</w:t>
            </w:r>
          </w:p>
        </w:tc>
      </w:tr>
      <w:tr w:rsidR="004728E9" w:rsidTr="004728E9">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Opportunities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Good connectivity between ED and UTC – promoting staff integration and new ways of working</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Threats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Loss of car parking revenue</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Compromised ambulance drop off area</w:t>
            </w:r>
          </w:p>
        </w:tc>
      </w:tr>
    </w:tbl>
    <w:p w:rsidR="004728E9" w:rsidRDefault="004728E9" w:rsidP="004728E9">
      <w:pPr>
        <w:jc w:val="center"/>
        <w:rPr>
          <w:rFonts w:eastAsia="Times New Roman" w:cs="Times New Roman"/>
          <w:szCs w:val="24"/>
          <w:lang w:eastAsia="en-GB"/>
        </w:rPr>
      </w:pPr>
    </w:p>
    <w:p w:rsidR="004728E9" w:rsidRDefault="004728E9" w:rsidP="004728E9">
      <w:pPr>
        <w:rPr>
          <w:rFonts w:eastAsia="Times New Roman" w:cs="Times New Roman"/>
          <w:szCs w:val="24"/>
          <w:lang w:eastAsia="en-GB"/>
        </w:rPr>
      </w:pPr>
      <w:r>
        <w:rPr>
          <w:rFonts w:eastAsia="Times New Roman" w:cs="Times New Roman"/>
          <w:szCs w:val="24"/>
          <w:lang w:eastAsia="en-GB"/>
        </w:rPr>
        <w:br w:type="page"/>
      </w:r>
    </w:p>
    <w:p w:rsidR="004728E9" w:rsidRDefault="004728E9" w:rsidP="004728E9">
      <w:pPr>
        <w:spacing w:after="160"/>
        <w:rPr>
          <w:rFonts w:ascii="Calibri" w:eastAsia="Times New Roman" w:hAnsi="Calibri" w:cs="Times New Roman"/>
          <w:color w:val="5A5A5A"/>
          <w:spacing w:val="15"/>
          <w:sz w:val="28"/>
          <w:szCs w:val="28"/>
          <w:lang w:eastAsia="en-GB"/>
        </w:rPr>
      </w:pPr>
      <w:bookmarkStart w:id="61" w:name="_Toc76551212"/>
      <w:bookmarkStart w:id="62" w:name="_Toc36214687"/>
      <w:r>
        <w:rPr>
          <w:rFonts w:ascii="Calibri" w:eastAsia="Times New Roman" w:hAnsi="Calibri" w:cs="Times New Roman"/>
          <w:color w:val="5A5A5A"/>
          <w:spacing w:val="15"/>
          <w:sz w:val="28"/>
          <w:szCs w:val="28"/>
          <w:lang w:eastAsia="en-GB"/>
        </w:rPr>
        <w:lastRenderedPageBreak/>
        <w:t>Option 9 – intermediate + option</w:t>
      </w:r>
      <w:bookmarkEnd w:id="61"/>
      <w:bookmarkEnd w:id="62"/>
    </w:p>
    <w:p w:rsidR="004728E9" w:rsidRDefault="004728E9" w:rsidP="004728E9">
      <w:pPr>
        <w:jc w:val="both"/>
        <w:rPr>
          <w:rFonts w:eastAsia="Times New Roman" w:cs="Times New Roman"/>
          <w:szCs w:val="24"/>
          <w:lang w:eastAsia="en-GB"/>
        </w:rPr>
      </w:pPr>
      <w:r>
        <w:rPr>
          <w:rFonts w:eastAsia="Times New Roman" w:cs="Times New Roman"/>
          <w:szCs w:val="24"/>
          <w:lang w:eastAsia="en-GB"/>
        </w:rPr>
        <w:t xml:space="preserve">Major road diversions again to the south of the ED with a new two-storey construction for Majors and </w:t>
      </w:r>
      <w:proofErr w:type="spellStart"/>
      <w:r>
        <w:rPr>
          <w:rFonts w:eastAsia="Times New Roman" w:cs="Times New Roman"/>
          <w:szCs w:val="24"/>
          <w:lang w:eastAsia="en-GB"/>
        </w:rPr>
        <w:t>Resus</w:t>
      </w:r>
      <w:proofErr w:type="spellEnd"/>
      <w:r>
        <w:rPr>
          <w:rFonts w:eastAsia="Times New Roman" w:cs="Times New Roman"/>
          <w:szCs w:val="24"/>
          <w:lang w:eastAsia="en-GB"/>
        </w:rPr>
        <w:t>.  UTC occupies the old ED space and 1</w:t>
      </w:r>
      <w:r>
        <w:rPr>
          <w:rFonts w:eastAsia="Times New Roman" w:cs="Times New Roman"/>
          <w:szCs w:val="24"/>
          <w:vertAlign w:val="superscript"/>
          <w:lang w:eastAsia="en-GB"/>
        </w:rPr>
        <w:t>st</w:t>
      </w:r>
      <w:r>
        <w:rPr>
          <w:rFonts w:eastAsia="Times New Roman" w:cs="Times New Roman"/>
          <w:szCs w:val="24"/>
          <w:lang w:eastAsia="en-GB"/>
        </w:rPr>
        <w:t xml:space="preserve"> floor above for clinical assessment service, office and training space.</w:t>
      </w:r>
    </w:p>
    <w:p w:rsidR="004728E9" w:rsidRDefault="004728E9" w:rsidP="004728E9">
      <w:pPr>
        <w:jc w:val="both"/>
        <w:rPr>
          <w:rFonts w:eastAsia="Times New Roman" w:cs="Times New Roman"/>
          <w:szCs w:val="24"/>
          <w:lang w:eastAsia="en-GB"/>
        </w:rPr>
      </w:pPr>
    </w:p>
    <w:p w:rsidR="004728E9" w:rsidRDefault="004728E9" w:rsidP="004728E9">
      <w:pPr>
        <w:jc w:val="center"/>
        <w:rPr>
          <w:rFonts w:eastAsia="Times New Roman" w:cs="Times New Roman"/>
          <w:szCs w:val="24"/>
          <w:lang w:eastAsia="en-GB"/>
        </w:rPr>
      </w:pPr>
      <w:r>
        <w:rPr>
          <w:rFonts w:eastAsia="Times New Roman" w:cs="Times New Roman"/>
          <w:noProof/>
          <w:szCs w:val="24"/>
          <w:lang w:eastAsia="en-GB"/>
        </w:rPr>
        <w:drawing>
          <wp:inline distT="0" distB="0" distL="0" distR="0">
            <wp:extent cx="3838575" cy="4333875"/>
            <wp:effectExtent l="0" t="0" r="9525" b="952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38575" cy="4333875"/>
                    </a:xfrm>
                    <a:prstGeom prst="rect">
                      <a:avLst/>
                    </a:prstGeom>
                    <a:noFill/>
                    <a:ln>
                      <a:noFill/>
                    </a:ln>
                  </pic:spPr>
                </pic:pic>
              </a:graphicData>
            </a:graphic>
          </wp:inline>
        </w:drawing>
      </w:r>
    </w:p>
    <w:p w:rsidR="004728E9" w:rsidRDefault="004728E9" w:rsidP="004728E9">
      <w:pPr>
        <w:jc w:val="center"/>
        <w:rPr>
          <w:rFonts w:eastAsia="Times New Roman" w:cs="Times New Roman"/>
          <w:szCs w:val="24"/>
          <w:lang w:eastAsia="en-GB"/>
        </w:rPr>
      </w:pPr>
    </w:p>
    <w:tbl>
      <w:tblPr>
        <w:tblStyle w:val="PlainTable11"/>
        <w:tblW w:w="0" w:type="auto"/>
        <w:tblInd w:w="0" w:type="dxa"/>
        <w:tblLook w:val="04A0" w:firstRow="1" w:lastRow="0" w:firstColumn="1" w:lastColumn="0" w:noHBand="0" w:noVBand="1"/>
      </w:tblPr>
      <w:tblGrid>
        <w:gridCol w:w="2119"/>
        <w:gridCol w:w="6897"/>
      </w:tblGrid>
      <w:tr w:rsidR="004728E9" w:rsidTr="00472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Strengths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No need to demolish any buildings or decant any staff</w:t>
            </w:r>
          </w:p>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Purpose build ED with no disruption to existing services</w:t>
            </w:r>
          </w:p>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Contains core and desirable options</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Weaknesses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Most of the UTC would have to be designed to fit within the old ED, constraining what could be designed.</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Major road diversion to the south of the ED</w:t>
            </w:r>
          </w:p>
        </w:tc>
      </w:tr>
      <w:tr w:rsidR="004728E9" w:rsidTr="004728E9">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Opportunities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Potential for further expansion</w:t>
            </w:r>
          </w:p>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Good connectivity between ED and UTC – promoting staff integration and new ways of working</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Threats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Loss of car parking revenue</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ED becomes very remote from the rest of the hospital – theatres, diagnostics etc.</w:t>
            </w:r>
          </w:p>
        </w:tc>
      </w:tr>
    </w:tbl>
    <w:p w:rsidR="004728E9" w:rsidRDefault="004728E9" w:rsidP="004728E9">
      <w:pPr>
        <w:jc w:val="center"/>
        <w:rPr>
          <w:rFonts w:eastAsia="Times New Roman" w:cs="Times New Roman"/>
          <w:szCs w:val="24"/>
          <w:lang w:eastAsia="en-GB"/>
        </w:rPr>
      </w:pPr>
    </w:p>
    <w:p w:rsidR="004728E9" w:rsidRDefault="004728E9" w:rsidP="004728E9">
      <w:pPr>
        <w:rPr>
          <w:rFonts w:eastAsia="Times New Roman" w:cs="Times New Roman"/>
          <w:szCs w:val="24"/>
          <w:lang w:eastAsia="en-GB"/>
        </w:rPr>
      </w:pPr>
      <w:r>
        <w:rPr>
          <w:rFonts w:eastAsia="Times New Roman" w:cs="Times New Roman"/>
          <w:szCs w:val="24"/>
          <w:lang w:eastAsia="en-GB"/>
        </w:rPr>
        <w:br w:type="page"/>
      </w:r>
    </w:p>
    <w:p w:rsidR="004728E9" w:rsidRDefault="004728E9" w:rsidP="004728E9">
      <w:pPr>
        <w:spacing w:after="160"/>
        <w:rPr>
          <w:rFonts w:ascii="Calibri" w:eastAsia="Times New Roman" w:hAnsi="Calibri" w:cs="Times New Roman"/>
          <w:color w:val="5A5A5A"/>
          <w:spacing w:val="15"/>
          <w:sz w:val="28"/>
          <w:szCs w:val="28"/>
          <w:lang w:eastAsia="en-GB"/>
        </w:rPr>
      </w:pPr>
      <w:bookmarkStart w:id="63" w:name="_Toc76551213"/>
      <w:bookmarkStart w:id="64" w:name="_Toc36214688"/>
      <w:r>
        <w:rPr>
          <w:rFonts w:ascii="Calibri" w:eastAsia="Times New Roman" w:hAnsi="Calibri" w:cs="Times New Roman"/>
          <w:color w:val="5A5A5A"/>
          <w:spacing w:val="15"/>
          <w:sz w:val="28"/>
          <w:szCs w:val="28"/>
          <w:lang w:eastAsia="en-GB"/>
        </w:rPr>
        <w:lastRenderedPageBreak/>
        <w:t>Option 10 – do maximum option</w:t>
      </w:r>
      <w:bookmarkEnd w:id="63"/>
      <w:bookmarkEnd w:id="64"/>
    </w:p>
    <w:p w:rsidR="004728E9" w:rsidRDefault="004728E9" w:rsidP="004728E9">
      <w:pPr>
        <w:jc w:val="both"/>
        <w:rPr>
          <w:rFonts w:eastAsia="Times New Roman" w:cs="Times New Roman"/>
          <w:szCs w:val="24"/>
          <w:lang w:eastAsia="en-GB"/>
        </w:rPr>
      </w:pPr>
      <w:r>
        <w:rPr>
          <w:rFonts w:eastAsia="Times New Roman" w:cs="Times New Roman"/>
          <w:szCs w:val="24"/>
          <w:lang w:eastAsia="en-GB"/>
        </w:rPr>
        <w:t xml:space="preserve">A full road diversion to the south of the existing ED, with a new, two-storey extension to encompass an entirely new ED with </w:t>
      </w:r>
      <w:proofErr w:type="spellStart"/>
      <w:r>
        <w:rPr>
          <w:rFonts w:eastAsia="Times New Roman" w:cs="Times New Roman"/>
          <w:szCs w:val="24"/>
          <w:lang w:eastAsia="en-GB"/>
        </w:rPr>
        <w:t>resus</w:t>
      </w:r>
      <w:proofErr w:type="spellEnd"/>
      <w:r>
        <w:rPr>
          <w:rFonts w:eastAsia="Times New Roman" w:cs="Times New Roman"/>
          <w:szCs w:val="24"/>
          <w:lang w:eastAsia="en-GB"/>
        </w:rPr>
        <w:t xml:space="preserve"> and a new UTC.  The existing ED would continue as is until the new build was opened then migrate.  The old ED then freed up for future expansion.</w:t>
      </w:r>
    </w:p>
    <w:p w:rsidR="004728E9" w:rsidRDefault="004728E9" w:rsidP="004728E9">
      <w:pPr>
        <w:jc w:val="both"/>
        <w:rPr>
          <w:rFonts w:eastAsia="Times New Roman" w:cs="Times New Roman"/>
          <w:szCs w:val="24"/>
          <w:lang w:eastAsia="en-GB"/>
        </w:rPr>
      </w:pPr>
    </w:p>
    <w:p w:rsidR="004728E9" w:rsidRDefault="004728E9" w:rsidP="004728E9">
      <w:pPr>
        <w:jc w:val="center"/>
        <w:rPr>
          <w:rFonts w:eastAsia="Times New Roman" w:cs="Times New Roman"/>
          <w:szCs w:val="24"/>
          <w:lang w:eastAsia="en-GB"/>
        </w:rPr>
      </w:pPr>
      <w:r>
        <w:rPr>
          <w:rFonts w:eastAsia="Times New Roman" w:cs="Times New Roman"/>
          <w:noProof/>
          <w:szCs w:val="24"/>
          <w:lang w:eastAsia="en-GB"/>
        </w:rPr>
        <w:drawing>
          <wp:inline distT="0" distB="0" distL="0" distR="0">
            <wp:extent cx="3476625" cy="4324350"/>
            <wp:effectExtent l="0" t="0" r="952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76625" cy="4324350"/>
                    </a:xfrm>
                    <a:prstGeom prst="rect">
                      <a:avLst/>
                    </a:prstGeom>
                    <a:noFill/>
                    <a:ln>
                      <a:noFill/>
                    </a:ln>
                  </pic:spPr>
                </pic:pic>
              </a:graphicData>
            </a:graphic>
          </wp:inline>
        </w:drawing>
      </w:r>
    </w:p>
    <w:p w:rsidR="004728E9" w:rsidRDefault="004728E9" w:rsidP="004728E9">
      <w:pPr>
        <w:jc w:val="center"/>
        <w:rPr>
          <w:rFonts w:eastAsia="Times New Roman" w:cs="Times New Roman"/>
          <w:szCs w:val="24"/>
          <w:lang w:eastAsia="en-GB"/>
        </w:rPr>
      </w:pPr>
    </w:p>
    <w:tbl>
      <w:tblPr>
        <w:tblStyle w:val="PlainTable11"/>
        <w:tblW w:w="0" w:type="auto"/>
        <w:tblInd w:w="0" w:type="dxa"/>
        <w:tblLook w:val="04A0" w:firstRow="1" w:lastRow="0" w:firstColumn="1" w:lastColumn="0" w:noHBand="0" w:noVBand="1"/>
      </w:tblPr>
      <w:tblGrid>
        <w:gridCol w:w="2119"/>
        <w:gridCol w:w="6897"/>
      </w:tblGrid>
      <w:tr w:rsidR="004728E9" w:rsidTr="00472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Strengths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No need to demolish any buildings or decant any staff</w:t>
            </w:r>
          </w:p>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Purpose build ED and with no disruption to existing services</w:t>
            </w:r>
          </w:p>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Contains core, desirable and optional elements</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Weaknesses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Major road diversions</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High cost</w:t>
            </w:r>
          </w:p>
        </w:tc>
      </w:tr>
      <w:tr w:rsidR="004728E9" w:rsidTr="004728E9">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Opportunities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Existing space freed for other services</w:t>
            </w:r>
          </w:p>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Custom build building with excellent connectivity between ED and UTC – promoting staff integration and new ways of working</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Threats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Loss of car parking revenue</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ED and UTC becomes very remote from the rest of the hospital – theatres, diagnostics etc.</w:t>
            </w:r>
          </w:p>
        </w:tc>
      </w:tr>
    </w:tbl>
    <w:p w:rsidR="004728E9" w:rsidRDefault="004728E9" w:rsidP="004728E9">
      <w:pPr>
        <w:rPr>
          <w:rFonts w:eastAsia="Times New Roman" w:cs="Times New Roman"/>
          <w:szCs w:val="24"/>
          <w:lang w:eastAsia="en-GB"/>
        </w:rPr>
      </w:pPr>
    </w:p>
    <w:p w:rsidR="004728E9" w:rsidRDefault="004728E9" w:rsidP="004728E9">
      <w:pPr>
        <w:rPr>
          <w:rFonts w:eastAsia="Times New Roman" w:cs="Times New Roman"/>
          <w:szCs w:val="24"/>
          <w:lang w:eastAsia="en-GB"/>
        </w:rPr>
      </w:pPr>
      <w:r>
        <w:rPr>
          <w:rFonts w:eastAsia="Times New Roman" w:cs="Times New Roman"/>
          <w:szCs w:val="24"/>
          <w:lang w:eastAsia="en-GB"/>
        </w:rPr>
        <w:br w:type="page"/>
      </w:r>
    </w:p>
    <w:p w:rsidR="004728E9" w:rsidRDefault="004728E9" w:rsidP="004728E9">
      <w:pPr>
        <w:spacing w:after="160"/>
        <w:rPr>
          <w:rFonts w:ascii="Calibri" w:eastAsia="Times New Roman" w:hAnsi="Calibri" w:cs="Times New Roman"/>
          <w:color w:val="5A5A5A"/>
          <w:spacing w:val="15"/>
          <w:sz w:val="28"/>
          <w:szCs w:val="28"/>
          <w:lang w:eastAsia="en-GB"/>
        </w:rPr>
      </w:pPr>
      <w:bookmarkStart w:id="65" w:name="_Toc76551214"/>
      <w:bookmarkStart w:id="66" w:name="_Toc36214689"/>
      <w:r>
        <w:rPr>
          <w:rFonts w:ascii="Calibri" w:eastAsia="Times New Roman" w:hAnsi="Calibri" w:cs="Times New Roman"/>
          <w:color w:val="5A5A5A"/>
          <w:spacing w:val="15"/>
          <w:sz w:val="28"/>
          <w:szCs w:val="28"/>
          <w:lang w:eastAsia="en-GB"/>
        </w:rPr>
        <w:lastRenderedPageBreak/>
        <w:t>Option 11 – do maximum option</w:t>
      </w:r>
      <w:bookmarkEnd w:id="65"/>
      <w:bookmarkEnd w:id="66"/>
    </w:p>
    <w:p w:rsidR="004728E9" w:rsidRDefault="004728E9" w:rsidP="004728E9">
      <w:pPr>
        <w:rPr>
          <w:rFonts w:eastAsia="Times New Roman" w:cs="Times New Roman"/>
          <w:szCs w:val="24"/>
          <w:lang w:eastAsia="en-GB"/>
        </w:rPr>
      </w:pPr>
      <w:r>
        <w:rPr>
          <w:rFonts w:eastAsia="Times New Roman" w:cs="Times New Roman"/>
          <w:szCs w:val="24"/>
          <w:lang w:eastAsia="en-GB"/>
        </w:rPr>
        <w:t xml:space="preserve">A full road diversion to the east of ED and Out Patients out to the </w:t>
      </w:r>
      <w:proofErr w:type="spellStart"/>
      <w:r>
        <w:rPr>
          <w:rFonts w:eastAsia="Times New Roman" w:cs="Times New Roman"/>
          <w:szCs w:val="24"/>
          <w:lang w:eastAsia="en-GB"/>
        </w:rPr>
        <w:t>Skirbeck</w:t>
      </w:r>
      <w:proofErr w:type="spellEnd"/>
      <w:r>
        <w:rPr>
          <w:rFonts w:eastAsia="Times New Roman" w:cs="Times New Roman"/>
          <w:szCs w:val="24"/>
          <w:lang w:eastAsia="en-GB"/>
        </w:rPr>
        <w:t xml:space="preserve"> House building.  Ambulances would be redirected to the South of the building.  A new two-storey extension to the east of the existing ED and H block for purpose built UTC.  New </w:t>
      </w:r>
      <w:proofErr w:type="spellStart"/>
      <w:r>
        <w:rPr>
          <w:rFonts w:eastAsia="Times New Roman" w:cs="Times New Roman"/>
          <w:szCs w:val="24"/>
          <w:lang w:eastAsia="en-GB"/>
        </w:rPr>
        <w:t>resus</w:t>
      </w:r>
      <w:proofErr w:type="spellEnd"/>
      <w:r>
        <w:rPr>
          <w:rFonts w:eastAsia="Times New Roman" w:cs="Times New Roman"/>
          <w:szCs w:val="24"/>
          <w:lang w:eastAsia="en-GB"/>
        </w:rPr>
        <w:t xml:space="preserve"> and extension to the existing ED.</w:t>
      </w:r>
    </w:p>
    <w:p w:rsidR="004728E9" w:rsidRDefault="004728E9" w:rsidP="004728E9">
      <w:pPr>
        <w:rPr>
          <w:rFonts w:eastAsia="Times New Roman" w:cs="Times New Roman"/>
          <w:szCs w:val="24"/>
          <w:lang w:eastAsia="en-GB"/>
        </w:rPr>
      </w:pPr>
    </w:p>
    <w:p w:rsidR="004728E9" w:rsidRDefault="004728E9" w:rsidP="004728E9">
      <w:pPr>
        <w:jc w:val="center"/>
        <w:rPr>
          <w:rFonts w:eastAsia="Times New Roman" w:cs="Times New Roman"/>
          <w:szCs w:val="24"/>
          <w:lang w:eastAsia="en-GB"/>
        </w:rPr>
      </w:pPr>
      <w:r>
        <w:rPr>
          <w:rFonts w:eastAsia="Times New Roman" w:cs="Times New Roman"/>
          <w:noProof/>
          <w:szCs w:val="24"/>
          <w:lang w:eastAsia="en-GB"/>
        </w:rPr>
        <w:drawing>
          <wp:inline distT="0" distB="0" distL="0" distR="0">
            <wp:extent cx="4210050" cy="43434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10050" cy="4343400"/>
                    </a:xfrm>
                    <a:prstGeom prst="rect">
                      <a:avLst/>
                    </a:prstGeom>
                    <a:noFill/>
                    <a:ln>
                      <a:noFill/>
                    </a:ln>
                  </pic:spPr>
                </pic:pic>
              </a:graphicData>
            </a:graphic>
          </wp:inline>
        </w:drawing>
      </w:r>
    </w:p>
    <w:p w:rsidR="004728E9" w:rsidRDefault="004728E9" w:rsidP="004728E9">
      <w:pPr>
        <w:jc w:val="center"/>
        <w:rPr>
          <w:rFonts w:eastAsia="Times New Roman" w:cs="Times New Roman"/>
          <w:szCs w:val="24"/>
          <w:lang w:eastAsia="en-GB"/>
        </w:rPr>
      </w:pPr>
    </w:p>
    <w:tbl>
      <w:tblPr>
        <w:tblStyle w:val="PlainTable11"/>
        <w:tblW w:w="0" w:type="auto"/>
        <w:tblInd w:w="0" w:type="dxa"/>
        <w:tblLook w:val="04A0" w:firstRow="1" w:lastRow="0" w:firstColumn="1" w:lastColumn="0" w:noHBand="0" w:noVBand="1"/>
      </w:tblPr>
      <w:tblGrid>
        <w:gridCol w:w="2119"/>
        <w:gridCol w:w="6897"/>
      </w:tblGrid>
      <w:tr w:rsidR="004728E9" w:rsidTr="00472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Strengths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No need to demolish any buildings or decant any staff</w:t>
            </w:r>
          </w:p>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Purpose built UTC</w:t>
            </w:r>
          </w:p>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Contains core, desirable and optional elements</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Weaknesses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Major road diversions across the front of ED</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High cost</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Would have to phase the ED extension</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New ambulance drop of could conflict with other traffic</w:t>
            </w:r>
          </w:p>
        </w:tc>
      </w:tr>
      <w:tr w:rsidR="004728E9" w:rsidTr="004728E9">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Opportunities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A large area in front of Out Patients is made available for future service expansion / development</w:t>
            </w:r>
          </w:p>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Good connectivity between ED and UTC – promoting staff integration and new ways of working</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Threats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Loss of car parking revenue</w:t>
            </w:r>
          </w:p>
        </w:tc>
      </w:tr>
    </w:tbl>
    <w:p w:rsidR="004728E9" w:rsidRDefault="004728E9" w:rsidP="004728E9">
      <w:pPr>
        <w:tabs>
          <w:tab w:val="center" w:pos="4535"/>
        </w:tabs>
        <w:rPr>
          <w:rFonts w:eastAsia="Times New Roman" w:cs="Times New Roman"/>
          <w:szCs w:val="24"/>
          <w:lang w:eastAsia="en-GB"/>
        </w:rPr>
      </w:pPr>
    </w:p>
    <w:p w:rsidR="004728E9" w:rsidRDefault="004728E9" w:rsidP="004728E9">
      <w:pPr>
        <w:rPr>
          <w:rFonts w:eastAsia="Times New Roman" w:cs="Times New Roman"/>
          <w:szCs w:val="24"/>
          <w:lang w:eastAsia="en-GB"/>
        </w:rPr>
      </w:pPr>
      <w:r>
        <w:rPr>
          <w:rFonts w:eastAsia="Times New Roman" w:cs="Times New Roman"/>
          <w:szCs w:val="24"/>
          <w:lang w:eastAsia="en-GB"/>
        </w:rPr>
        <w:br w:type="page"/>
      </w:r>
    </w:p>
    <w:p w:rsidR="004728E9" w:rsidRDefault="004728E9" w:rsidP="004728E9">
      <w:pPr>
        <w:spacing w:after="160"/>
        <w:rPr>
          <w:rFonts w:ascii="Calibri" w:eastAsia="Times New Roman" w:hAnsi="Calibri" w:cs="Times New Roman"/>
          <w:color w:val="5A5A5A"/>
          <w:spacing w:val="15"/>
          <w:sz w:val="28"/>
          <w:szCs w:val="28"/>
          <w:lang w:eastAsia="en-GB"/>
        </w:rPr>
      </w:pPr>
      <w:bookmarkStart w:id="67" w:name="_Toc76551215"/>
      <w:bookmarkStart w:id="68" w:name="_Toc36214690"/>
      <w:r>
        <w:rPr>
          <w:rFonts w:ascii="Calibri" w:eastAsia="Times New Roman" w:hAnsi="Calibri" w:cs="Times New Roman"/>
          <w:color w:val="5A5A5A"/>
          <w:spacing w:val="15"/>
          <w:sz w:val="28"/>
          <w:szCs w:val="28"/>
          <w:lang w:eastAsia="en-GB"/>
        </w:rPr>
        <w:lastRenderedPageBreak/>
        <w:t>Option 12 – do minimum option</w:t>
      </w:r>
      <w:bookmarkEnd w:id="67"/>
      <w:bookmarkEnd w:id="68"/>
    </w:p>
    <w:p w:rsidR="004728E9" w:rsidRDefault="004728E9" w:rsidP="004728E9">
      <w:pPr>
        <w:rPr>
          <w:rFonts w:eastAsia="Times New Roman" w:cs="Times New Roman"/>
          <w:szCs w:val="24"/>
          <w:lang w:eastAsia="en-GB"/>
        </w:rPr>
      </w:pPr>
      <w:r>
        <w:rPr>
          <w:rFonts w:eastAsia="Times New Roman" w:cs="Times New Roman"/>
          <w:szCs w:val="24"/>
          <w:lang w:eastAsia="en-GB"/>
        </w:rPr>
        <w:t xml:space="preserve">A further option was introduced to look at the use of existing buildings more and reducing the specification down to an absolute bare minimum service provision.  The </w:t>
      </w:r>
      <w:proofErr w:type="spellStart"/>
      <w:r>
        <w:rPr>
          <w:rFonts w:eastAsia="Times New Roman" w:cs="Times New Roman"/>
          <w:szCs w:val="24"/>
          <w:lang w:eastAsia="en-GB"/>
        </w:rPr>
        <w:t>resus</w:t>
      </w:r>
      <w:proofErr w:type="spellEnd"/>
      <w:r>
        <w:rPr>
          <w:rFonts w:eastAsia="Times New Roman" w:cs="Times New Roman"/>
          <w:szCs w:val="24"/>
          <w:lang w:eastAsia="en-GB"/>
        </w:rPr>
        <w:t xml:space="preserve"> area remained the same with a large road diversion to the south of the ED and a small extension to the west.  The UTC was constrained within the existing facility with a smaller extension into part of the H block and infilling a small courtyard area between the two.</w:t>
      </w:r>
    </w:p>
    <w:p w:rsidR="004728E9" w:rsidRDefault="004728E9" w:rsidP="004728E9">
      <w:pPr>
        <w:rPr>
          <w:rFonts w:eastAsia="Times New Roman" w:cs="Times New Roman"/>
          <w:szCs w:val="24"/>
          <w:lang w:eastAsia="en-GB"/>
        </w:rPr>
      </w:pPr>
    </w:p>
    <w:p w:rsidR="004728E9" w:rsidRDefault="004728E9" w:rsidP="004728E9">
      <w:pPr>
        <w:jc w:val="center"/>
        <w:rPr>
          <w:rFonts w:eastAsia="Times New Roman" w:cs="Times New Roman"/>
          <w:szCs w:val="24"/>
          <w:lang w:eastAsia="en-GB"/>
        </w:rPr>
      </w:pPr>
      <w:r>
        <w:rPr>
          <w:rFonts w:eastAsia="Times New Roman" w:cs="Times New Roman"/>
          <w:noProof/>
          <w:szCs w:val="24"/>
          <w:lang w:eastAsia="en-GB"/>
        </w:rPr>
        <w:drawing>
          <wp:inline distT="0" distB="0" distL="0" distR="0">
            <wp:extent cx="3686175" cy="4343400"/>
            <wp:effectExtent l="0" t="0" r="952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l="3436" t="17438" b="5853"/>
                    <a:stretch>
                      <a:fillRect/>
                    </a:stretch>
                  </pic:blipFill>
                  <pic:spPr bwMode="auto">
                    <a:xfrm>
                      <a:off x="0" y="0"/>
                      <a:ext cx="3686175" cy="4343400"/>
                    </a:xfrm>
                    <a:prstGeom prst="rect">
                      <a:avLst/>
                    </a:prstGeom>
                    <a:noFill/>
                    <a:ln>
                      <a:noFill/>
                    </a:ln>
                  </pic:spPr>
                </pic:pic>
              </a:graphicData>
            </a:graphic>
          </wp:inline>
        </w:drawing>
      </w:r>
    </w:p>
    <w:p w:rsidR="004728E9" w:rsidRDefault="004728E9" w:rsidP="004728E9">
      <w:pPr>
        <w:jc w:val="center"/>
        <w:rPr>
          <w:rFonts w:eastAsia="Times New Roman" w:cs="Times New Roman"/>
          <w:szCs w:val="24"/>
          <w:lang w:eastAsia="en-GB"/>
        </w:rPr>
      </w:pPr>
    </w:p>
    <w:tbl>
      <w:tblPr>
        <w:tblStyle w:val="PlainTable11"/>
        <w:tblW w:w="0" w:type="auto"/>
        <w:tblInd w:w="0" w:type="dxa"/>
        <w:tblLook w:val="04A0" w:firstRow="1" w:lastRow="0" w:firstColumn="1" w:lastColumn="0" w:noHBand="0" w:noVBand="1"/>
      </w:tblPr>
      <w:tblGrid>
        <w:gridCol w:w="2119"/>
        <w:gridCol w:w="6897"/>
      </w:tblGrid>
      <w:tr w:rsidR="004728E9" w:rsidTr="00472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Strengths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Low cost</w:t>
            </w:r>
          </w:p>
          <w:p w:rsidR="004728E9" w:rsidRDefault="004728E9">
            <w:pPr>
              <w:cnfStyle w:val="100000000000" w:firstRow="1" w:lastRow="0" w:firstColumn="0" w:lastColumn="0" w:oddVBand="0" w:evenVBand="0" w:oddHBand="0" w:evenHBand="0" w:firstRowFirstColumn="0" w:firstRowLastColumn="0" w:lastRowFirstColumn="0" w:lastRowLastColumn="0"/>
              <w:rPr>
                <w:rFonts w:cs="Arial"/>
                <w:sz w:val="22"/>
                <w:lang w:eastAsia="en-GB"/>
              </w:rPr>
            </w:pPr>
            <w:r>
              <w:rPr>
                <w:rFonts w:cs="Arial"/>
                <w:sz w:val="22"/>
                <w:lang w:eastAsia="en-GB"/>
              </w:rPr>
              <w:t>Minimal disruption to existing services during build</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Weaknesses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Major road diversions to the south of ED</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 xml:space="preserve">ED becomes land locked by services to north and west and road to east (potential expansion south through </w:t>
            </w:r>
            <w:proofErr w:type="spellStart"/>
            <w:r>
              <w:rPr>
                <w:rFonts w:cs="Arial"/>
                <w:bCs/>
                <w:sz w:val="22"/>
                <w:lang w:eastAsia="en-GB"/>
              </w:rPr>
              <w:t>resus</w:t>
            </w:r>
            <w:proofErr w:type="spellEnd"/>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UTC is shoe-horned into Existing poor quality building</w:t>
            </w:r>
          </w:p>
        </w:tc>
      </w:tr>
      <w:tr w:rsidR="004728E9" w:rsidTr="004728E9">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Opportunities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000000" w:firstRow="0" w:lastRow="0" w:firstColumn="0" w:lastColumn="0" w:oddVBand="0" w:evenVBand="0" w:oddHBand="0" w:evenHBand="0" w:firstRowFirstColumn="0" w:firstRowLastColumn="0" w:lastRowFirstColumn="0" w:lastRowLastColumn="0"/>
              <w:rPr>
                <w:rFonts w:cs="Arial"/>
                <w:bCs/>
                <w:sz w:val="22"/>
                <w:lang w:eastAsia="en-GB"/>
              </w:rPr>
            </w:pPr>
            <w:r>
              <w:rPr>
                <w:rFonts w:cs="Arial"/>
                <w:bCs/>
                <w:sz w:val="22"/>
                <w:lang w:eastAsia="en-GB"/>
              </w:rPr>
              <w:t>Future work could move the road to the east to expand, but high cost</w:t>
            </w:r>
          </w:p>
        </w:tc>
      </w:tr>
      <w:tr w:rsidR="004728E9" w:rsidTr="00472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BFBFBF"/>
              <w:left w:val="single" w:sz="4" w:space="0" w:color="BFBFBF"/>
              <w:bottom w:val="single" w:sz="4" w:space="0" w:color="BFBFBF"/>
              <w:right w:val="single" w:sz="4" w:space="0" w:color="BFBFBF"/>
            </w:tcBorders>
            <w:hideMark/>
          </w:tcPr>
          <w:p w:rsidR="004728E9" w:rsidRDefault="004728E9">
            <w:pPr>
              <w:rPr>
                <w:rFonts w:cs="Arial"/>
                <w:sz w:val="22"/>
                <w:lang w:eastAsia="en-GB"/>
              </w:rPr>
            </w:pPr>
            <w:r>
              <w:rPr>
                <w:rFonts w:cs="Arial"/>
                <w:sz w:val="22"/>
                <w:lang w:eastAsia="en-GB"/>
              </w:rPr>
              <w:t>Threats</w:t>
            </w:r>
          </w:p>
        </w:tc>
        <w:tc>
          <w:tcPr>
            <w:tcW w:w="6938" w:type="dxa"/>
            <w:tcBorders>
              <w:top w:val="single" w:sz="4" w:space="0" w:color="BFBFBF"/>
              <w:left w:val="single" w:sz="4" w:space="0" w:color="BFBFBF"/>
              <w:bottom w:val="single" w:sz="4" w:space="0" w:color="BFBFBF"/>
              <w:right w:val="single" w:sz="4" w:space="0" w:color="BFBFBF"/>
            </w:tcBorders>
            <w:hideMark/>
          </w:tcPr>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Loss of car parking revenue</w:t>
            </w:r>
          </w:p>
          <w:p w:rsidR="004728E9" w:rsidRDefault="004728E9">
            <w:pPr>
              <w:cnfStyle w:val="000000100000" w:firstRow="0" w:lastRow="0" w:firstColumn="0" w:lastColumn="0" w:oddVBand="0" w:evenVBand="0" w:oddHBand="1" w:evenHBand="0" w:firstRowFirstColumn="0" w:firstRowLastColumn="0" w:lastRowFirstColumn="0" w:lastRowLastColumn="0"/>
              <w:rPr>
                <w:rFonts w:cs="Arial"/>
                <w:bCs/>
                <w:sz w:val="22"/>
                <w:lang w:eastAsia="en-GB"/>
              </w:rPr>
            </w:pPr>
            <w:r>
              <w:rPr>
                <w:rFonts w:cs="Arial"/>
                <w:bCs/>
                <w:sz w:val="22"/>
                <w:lang w:eastAsia="en-GB"/>
              </w:rPr>
              <w:t>Very poor connectivity between UTC and ED, staff would not be able to integrate</w:t>
            </w:r>
          </w:p>
        </w:tc>
      </w:tr>
    </w:tbl>
    <w:p w:rsidR="004728E9" w:rsidRDefault="004728E9" w:rsidP="004728E9">
      <w:pPr>
        <w:rPr>
          <w:rFonts w:eastAsia="Times New Roman" w:cs="Times New Roman"/>
          <w:szCs w:val="24"/>
          <w:lang w:eastAsia="en-GB"/>
        </w:rPr>
      </w:pPr>
    </w:p>
    <w:p w:rsidR="00841096" w:rsidRDefault="00841096">
      <w:pPr>
        <w:spacing w:after="200" w:line="276" w:lineRule="auto"/>
      </w:pPr>
      <w:r>
        <w:br w:type="page"/>
      </w:r>
    </w:p>
    <w:p w:rsidR="004728E9" w:rsidRDefault="00841096" w:rsidP="00841096">
      <w:pPr>
        <w:pStyle w:val="Heading1"/>
      </w:pPr>
      <w:bookmarkStart w:id="69" w:name="_Toc105665228"/>
      <w:r>
        <w:lastRenderedPageBreak/>
        <w:t>Appendix K:  Clinical Model Options</w:t>
      </w:r>
      <w:bookmarkEnd w:id="69"/>
    </w:p>
    <w:p w:rsidR="00841096" w:rsidRDefault="00841096" w:rsidP="00841096"/>
    <w:p w:rsidR="00841096" w:rsidRDefault="00841096">
      <w:pPr>
        <w:spacing w:after="200" w:line="276" w:lineRule="auto"/>
      </w:pPr>
      <w:r>
        <w:br w:type="page"/>
      </w:r>
    </w:p>
    <w:p w:rsidR="00841096" w:rsidRDefault="00841096" w:rsidP="00841096">
      <w:pPr>
        <w:sectPr w:rsidR="00841096" w:rsidSect="004728E9">
          <w:pgSz w:w="11906" w:h="16838"/>
          <w:pgMar w:top="1440" w:right="1440" w:bottom="1440" w:left="1440" w:header="709" w:footer="709" w:gutter="0"/>
          <w:cols w:space="708"/>
          <w:docGrid w:linePitch="360"/>
        </w:sectPr>
      </w:pPr>
    </w:p>
    <w:p w:rsidR="00841096" w:rsidRPr="00841096" w:rsidRDefault="00841096" w:rsidP="00841096">
      <w:pPr>
        <w:jc w:val="center"/>
      </w:pPr>
      <w:r w:rsidRPr="00841096">
        <w:rPr>
          <w:noProof/>
          <w:lang w:eastAsia="en-GB"/>
        </w:rPr>
        <w:lastRenderedPageBreak/>
        <w:drawing>
          <wp:inline distT="0" distB="0" distL="0" distR="0" wp14:anchorId="3EC8379B" wp14:editId="0263665A">
            <wp:extent cx="8554480" cy="603885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560596" cy="6043168"/>
                    </a:xfrm>
                    <a:prstGeom prst="rect">
                      <a:avLst/>
                    </a:prstGeom>
                  </pic:spPr>
                </pic:pic>
              </a:graphicData>
            </a:graphic>
          </wp:inline>
        </w:drawing>
      </w:r>
    </w:p>
    <w:p w:rsidR="004728E9" w:rsidRDefault="00841096" w:rsidP="00841096">
      <w:pPr>
        <w:jc w:val="center"/>
        <w:rPr>
          <w:lang w:eastAsia="en-GB"/>
        </w:rPr>
      </w:pPr>
      <w:r w:rsidRPr="00841096">
        <w:rPr>
          <w:noProof/>
          <w:lang w:eastAsia="en-GB"/>
        </w:rPr>
        <w:lastRenderedPageBreak/>
        <w:drawing>
          <wp:inline distT="0" distB="0" distL="0" distR="0" wp14:anchorId="14C41D21" wp14:editId="61A0A8DD">
            <wp:extent cx="8734425" cy="6161541"/>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739300" cy="6164980"/>
                    </a:xfrm>
                    <a:prstGeom prst="rect">
                      <a:avLst/>
                    </a:prstGeom>
                  </pic:spPr>
                </pic:pic>
              </a:graphicData>
            </a:graphic>
          </wp:inline>
        </w:drawing>
      </w:r>
    </w:p>
    <w:p w:rsidR="00841096" w:rsidRDefault="00841096" w:rsidP="00841096">
      <w:pPr>
        <w:jc w:val="center"/>
        <w:rPr>
          <w:lang w:eastAsia="en-GB"/>
        </w:rPr>
      </w:pPr>
      <w:r w:rsidRPr="00841096">
        <w:rPr>
          <w:noProof/>
          <w:lang w:eastAsia="en-GB"/>
        </w:rPr>
        <w:lastRenderedPageBreak/>
        <w:drawing>
          <wp:inline distT="0" distB="0" distL="0" distR="0" wp14:anchorId="12586DBE" wp14:editId="7CA1B855">
            <wp:extent cx="8776204" cy="6172200"/>
            <wp:effectExtent l="0" t="0" r="635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779821" cy="6174744"/>
                    </a:xfrm>
                    <a:prstGeom prst="rect">
                      <a:avLst/>
                    </a:prstGeom>
                  </pic:spPr>
                </pic:pic>
              </a:graphicData>
            </a:graphic>
          </wp:inline>
        </w:drawing>
      </w:r>
    </w:p>
    <w:p w:rsidR="00841096" w:rsidRDefault="00841096" w:rsidP="00841096">
      <w:pPr>
        <w:jc w:val="center"/>
        <w:rPr>
          <w:lang w:eastAsia="en-GB"/>
        </w:rPr>
        <w:sectPr w:rsidR="00841096" w:rsidSect="00841096">
          <w:pgSz w:w="16838" w:h="11906" w:orient="landscape"/>
          <w:pgMar w:top="1440" w:right="1440" w:bottom="1440" w:left="1440" w:header="709" w:footer="709" w:gutter="0"/>
          <w:cols w:space="708"/>
          <w:docGrid w:linePitch="360"/>
        </w:sectPr>
      </w:pPr>
    </w:p>
    <w:p w:rsidR="00841096" w:rsidRDefault="00701552" w:rsidP="00701552">
      <w:pPr>
        <w:pStyle w:val="Heading1"/>
        <w:rPr>
          <w:lang w:eastAsia="en-GB"/>
        </w:rPr>
      </w:pPr>
      <w:bookmarkStart w:id="70" w:name="_Toc105665229"/>
      <w:r>
        <w:rPr>
          <w:lang w:eastAsia="en-GB"/>
        </w:rPr>
        <w:lastRenderedPageBreak/>
        <w:t>Appendix L:  pathology Solution for Pilgrim Hospital Urgent Care Project</w:t>
      </w:r>
      <w:bookmarkEnd w:id="70"/>
    </w:p>
    <w:p w:rsidR="00701552" w:rsidRDefault="00701552" w:rsidP="00701552">
      <w:pPr>
        <w:rPr>
          <w:lang w:eastAsia="en-GB"/>
        </w:rPr>
      </w:pPr>
    </w:p>
    <w:p w:rsidR="00701552" w:rsidRDefault="00701552">
      <w:pPr>
        <w:spacing w:after="200" w:line="276" w:lineRule="auto"/>
        <w:rPr>
          <w:lang w:eastAsia="en-GB"/>
        </w:rPr>
      </w:pPr>
      <w:r>
        <w:rPr>
          <w:lang w:eastAsia="en-GB"/>
        </w:rPr>
        <w:br w:type="page"/>
      </w:r>
    </w:p>
    <w:sdt>
      <w:sdtPr>
        <w:rPr>
          <w:rFonts w:asciiTheme="majorHAnsi" w:eastAsiaTheme="majorEastAsia" w:hAnsiTheme="majorHAnsi" w:cstheme="majorBidi"/>
          <w:b/>
          <w:bCs/>
          <w:color w:val="365F91" w:themeColor="accent1" w:themeShade="BF"/>
          <w:sz w:val="72"/>
          <w:szCs w:val="72"/>
          <w:lang w:eastAsia="en-GB"/>
        </w:rPr>
        <w:id w:val="-824504358"/>
        <w:docPartObj>
          <w:docPartGallery w:val="Watermarks"/>
        </w:docPartObj>
      </w:sdtPr>
      <w:sdtEndPr/>
      <w:sdtContent>
        <w:p w:rsidR="00701552" w:rsidRDefault="00701552" w:rsidP="00701552">
          <w:pPr>
            <w:pStyle w:val="NoSpacing"/>
            <w:rPr>
              <w:rFonts w:asciiTheme="majorHAnsi" w:eastAsiaTheme="majorEastAsia" w:hAnsiTheme="majorHAnsi" w:cstheme="majorBidi"/>
              <w:b/>
              <w:bCs/>
              <w:color w:val="365F91" w:themeColor="accent1" w:themeShade="BF"/>
              <w:sz w:val="72"/>
              <w:szCs w:val="72"/>
              <w:lang w:eastAsia="en-GB"/>
            </w:rPr>
          </w:pPr>
          <w:r>
            <w:rPr>
              <w:rFonts w:asciiTheme="minorHAnsi" w:hAnsiTheme="minorHAnsi"/>
              <w:noProof/>
              <w:sz w:val="22"/>
              <w:lang w:eastAsia="en-GB"/>
            </w:rPr>
            <mc:AlternateContent>
              <mc:Choice Requires="wps">
                <w:drawing>
                  <wp:anchor distT="0" distB="0" distL="114300" distR="114300" simplePos="0" relativeHeight="251804160" behindDoc="1" locked="0" layoutInCell="0" allowOverlap="1">
                    <wp:simplePos x="0" y="0"/>
                    <wp:positionH relativeFrom="margin">
                      <wp:align>center</wp:align>
                    </wp:positionH>
                    <wp:positionV relativeFrom="margin">
                      <wp:align>center</wp:align>
                    </wp:positionV>
                    <wp:extent cx="5237480" cy="3142615"/>
                    <wp:effectExtent l="0" t="1143000" r="0" b="657860"/>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36A14" w:rsidRDefault="00336A14" w:rsidP="00701552">
                                <w:pPr>
                                  <w:pStyle w:val="NormalWeb"/>
                                  <w:spacing w:before="0" w:beforeAutospacing="0" w:after="0" w:afterAutospacing="0"/>
                                  <w:jc w:val="center"/>
                                </w:pPr>
                                <w:r>
                                  <w:rPr>
                                    <w:rFonts w:ascii="Calibri" w:hAnsi="Calibri" w:cs="Calibri"/>
                                    <w:color w:val="C0C0C0"/>
                                    <w:sz w:val="72"/>
                                    <w:szCs w:val="7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Text Box 220" o:spid="_x0000_s1027" type="#_x0000_t202" style="position:absolute;margin-left:0;margin-top:0;width:412.4pt;height:247.45pt;rotation:-45;z-index:-25151232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" o:allowincell="f" filled="f" stroked="f">
                    <v:stroke joinstyle="round"/>
                    <o:lock v:ext="edit" shapetype="t"/>
                    <v:textbox style="mso-fit-shape-to-text:t">
                      <w:txbxContent>
                        <w:p w:rsidR="00336A14" w:rsidRDefault="00336A14" w:rsidP="00701552">
                          <w:pPr>
                            <w:pStyle w:val="NormalWeb"/>
                            <w:spacing w:before="0" w:beforeAutospacing="0" w:after="0" w:afterAutospacing="0"/>
                            <w:jc w:val="center"/>
                          </w:pPr>
                          <w:r>
                            <w:rPr>
                              <w:rFonts w:ascii="Calibri" w:hAnsi="Calibri" w:cs="Calibri"/>
                              <w:color w:val="C0C0C0"/>
                              <w:sz w:val="72"/>
                              <w:szCs w:val="72"/>
                              <w14:textFill>
                                <w14:solidFill>
                                  <w14:srgbClr w14:val="C0C0C0">
                                    <w14:alpha w14:val="50000"/>
                                  </w14:srgbClr>
                                </w14:solidFill>
                              </w14:textFill>
                            </w:rPr>
                            <w:t>DRAFT</w:t>
                          </w:r>
                        </w:p>
                      </w:txbxContent>
                    </v:textbox>
                    <w10:wrap anchorx="margin" anchory="margin"/>
                  </v:shape>
                </w:pict>
              </mc:Fallback>
            </mc:AlternateContent>
          </w:r>
        </w:p>
      </w:sdtContent>
    </w:sdt>
    <w:sdt>
      <w:sdtPr>
        <w:rPr>
          <w:rFonts w:asciiTheme="majorHAnsi" w:eastAsiaTheme="majorEastAsia" w:hAnsiTheme="majorHAnsi" w:cstheme="majorBidi"/>
          <w:b/>
          <w:bCs/>
          <w:color w:val="365F91" w:themeColor="accent1" w:themeShade="BF"/>
          <w:sz w:val="72"/>
          <w:szCs w:val="72"/>
          <w:lang w:eastAsia="en-GB"/>
        </w:rPr>
        <w:id w:val="-2066635107"/>
        <w:docPartObj>
          <w:docPartGallery w:val="Cover Pages"/>
          <w:docPartUnique/>
        </w:docPartObj>
      </w:sdtPr>
      <w:sdtEndPr>
        <w:rPr>
          <w:lang w:eastAsia="en-US"/>
        </w:rPr>
      </w:sdtEndPr>
      <w:sdtContent>
        <w:p w:rsidR="00701552" w:rsidRDefault="00701552" w:rsidP="00701552">
          <w:pPr>
            <w:pStyle w:val="NoSpacing"/>
            <w:rPr>
              <w:rFonts w:asciiTheme="majorHAnsi" w:eastAsiaTheme="majorEastAsia" w:hAnsiTheme="majorHAnsi" w:cstheme="majorBidi"/>
              <w:color w:val="auto"/>
              <w:sz w:val="72"/>
              <w:szCs w:val="72"/>
              <w:lang w:val="en-US" w:eastAsia="ja-JP"/>
            </w:rPr>
          </w:pPr>
          <w:r>
            <w:rPr>
              <w:rFonts w:asciiTheme="minorHAnsi" w:eastAsiaTheme="minorEastAsia" w:hAnsiTheme="minorHAnsi" w:cstheme="minorBidi"/>
              <w:noProof/>
              <w:color w:val="auto"/>
              <w:sz w:val="22"/>
              <w:lang w:eastAsia="en-GB"/>
            </w:rPr>
            <w:drawing>
              <wp:anchor distT="0" distB="0" distL="114300" distR="114300" simplePos="0" relativeHeight="251791872" behindDoc="0" locked="0" layoutInCell="1" allowOverlap="1">
                <wp:simplePos x="0" y="0"/>
                <wp:positionH relativeFrom="column">
                  <wp:posOffset>3978275</wp:posOffset>
                </wp:positionH>
                <wp:positionV relativeFrom="paragraph">
                  <wp:posOffset>37465</wp:posOffset>
                </wp:positionV>
                <wp:extent cx="2564765" cy="1152525"/>
                <wp:effectExtent l="0" t="0" r="6985" b="9525"/>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64765" cy="11525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t xml:space="preserve"> </w:t>
          </w:r>
          <w:r>
            <w:rPr>
              <w:rFonts w:asciiTheme="minorHAnsi" w:eastAsiaTheme="minorEastAsia" w:hAnsiTheme="minorHAnsi" w:cstheme="minorBidi"/>
              <w:noProof/>
              <w:color w:val="auto"/>
              <w:sz w:val="22"/>
              <w:lang w:eastAsia="en-GB"/>
            </w:rPr>
            <mc:AlternateContent>
              <mc:Choice Requires="wps">
                <w:drawing>
                  <wp:anchor distT="0" distB="0" distL="114300" distR="114300" simplePos="0" relativeHeight="251738624" behindDoc="0" locked="0" layoutInCell="0" allowOverlap="1">
                    <wp:simplePos x="0" y="0"/>
                    <wp:positionH relativeFrom="page">
                      <wp:align>center</wp:align>
                    </wp:positionH>
                    <wp:positionV relativeFrom="page">
                      <wp:align>bottom</wp:align>
                    </wp:positionV>
                    <wp:extent cx="7660005" cy="817880"/>
                    <wp:effectExtent l="0" t="0" r="24765" b="15240"/>
                    <wp:wrapNone/>
                    <wp:docPr id="218"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8135" cy="583565"/>
                            </a:xfrm>
                            <a:prstGeom prst="rect">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1193919E" id="Rectangle 218" o:spid="_x0000_s1026" style="position:absolute;margin-left:0;margin-top:0;width:603.15pt;height:64.4pt;z-index:25173862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" o:allowincell="f" fillcolor="#4f81bd [3204]" strokecolor="#4f81bd [3204]">
                    <w10:wrap anchorx="page" anchory="page"/>
                  </v:rect>
                </w:pict>
              </mc:Fallback>
            </mc:AlternateContent>
          </w:r>
          <w:r>
            <w:rPr>
              <w:rFonts w:asciiTheme="minorHAnsi" w:eastAsiaTheme="minorEastAsia" w:hAnsiTheme="minorHAnsi" w:cstheme="minorBidi"/>
              <w:noProof/>
              <w:color w:val="auto"/>
              <w:sz w:val="22"/>
              <w:lang w:eastAsia="en-GB"/>
            </w:rPr>
            <mc:AlternateContent>
              <mc:Choice Requires="wps">
                <w:drawing>
                  <wp:anchor distT="0" distB="0" distL="114300" distR="114300" simplePos="0" relativeHeight="251775488" behindDoc="0" locked="0" layoutInCell="0" allowOverlap="1">
                    <wp:simplePos x="0" y="0"/>
                    <wp:positionH relativeFrom="leftMargin">
                      <wp:align>center</wp:align>
                    </wp:positionH>
                    <wp:positionV relativeFrom="page">
                      <wp:align>center</wp:align>
                    </wp:positionV>
                    <wp:extent cx="90805" cy="10556240"/>
                    <wp:effectExtent l="0" t="0" r="23495" b="12700"/>
                    <wp:wrapNone/>
                    <wp:docPr id="216"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2680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470C3204" id="Rectangle 216" o:spid="_x0000_s1026" style="position:absolute;margin-left:0;margin-top:0;width:7.15pt;height:831.2pt;z-index:251775488;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" o:allowincell="f" strokecolor="#4f81bd [3204]">
                    <w10:wrap anchorx="margin" anchory="page"/>
                  </v:rect>
                </w:pict>
              </mc:Fallback>
            </mc:AlternateContent>
          </w:r>
          <w:r>
            <w:rPr>
              <w:rFonts w:asciiTheme="minorHAnsi" w:eastAsiaTheme="minorEastAsia" w:hAnsiTheme="minorHAnsi" w:cstheme="minorBidi"/>
              <w:noProof/>
              <w:color w:val="auto"/>
              <w:sz w:val="22"/>
              <w:lang w:eastAsia="en-GB"/>
            </w:rPr>
            <mc:AlternateContent>
              <mc:Choice Requires="wps">
                <w:drawing>
                  <wp:anchor distT="0" distB="0" distL="114300" distR="114300" simplePos="0" relativeHeight="251763200" behindDoc="0" locked="0" layoutInCell="0" allowOverlap="1">
                    <wp:simplePos x="0" y="0"/>
                    <wp:positionH relativeFrom="rightMargin">
                      <wp:align>center</wp:align>
                    </wp:positionH>
                    <wp:positionV relativeFrom="page">
                      <wp:align>center</wp:align>
                    </wp:positionV>
                    <wp:extent cx="90805" cy="10556240"/>
                    <wp:effectExtent l="0" t="0" r="23495" b="12700"/>
                    <wp:wrapNone/>
                    <wp:docPr id="215"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2680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2DC72FA2" id="Rectangle 215" o:spid="_x0000_s1026" style="position:absolute;margin-left:0;margin-top:0;width:7.15pt;height:831.2pt;z-index:251763200;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" o:allowincell="f" strokecolor="#4f81bd [3204]">
                    <w10:wrap anchorx="margin" anchory="page"/>
                  </v:rect>
                </w:pict>
              </mc:Fallback>
            </mc:AlternateContent>
          </w:r>
          <w:r>
            <w:rPr>
              <w:rFonts w:asciiTheme="minorHAnsi" w:eastAsiaTheme="minorEastAsia" w:hAnsiTheme="minorHAnsi" w:cstheme="minorBidi"/>
              <w:noProof/>
              <w:color w:val="auto"/>
              <w:sz w:val="22"/>
              <w:lang w:eastAsia="en-GB"/>
            </w:rPr>
            <mc:AlternateContent>
              <mc:Choice Requires="wps">
                <w:drawing>
                  <wp:anchor distT="0" distB="0" distL="114300" distR="114300" simplePos="0" relativeHeight="251750912" behindDoc="0" locked="0" layoutInCell="0" allowOverlap="1">
                    <wp:simplePos x="0" y="0"/>
                    <wp:positionH relativeFrom="page">
                      <wp:align>center</wp:align>
                    </wp:positionH>
                    <wp:positionV relativeFrom="topMargin">
                      <wp:align>top</wp:align>
                    </wp:positionV>
                    <wp:extent cx="7660005" cy="822960"/>
                    <wp:effectExtent l="0" t="0" r="24765" b="15240"/>
                    <wp:wrapNone/>
                    <wp:docPr id="214" name="Rectangle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8135" cy="583565"/>
                            </a:xfrm>
                            <a:prstGeom prst="rect">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05A4F339" id="Rectangle 214" o:spid="_x0000_s1026" style="position:absolute;margin-left:0;margin-top:0;width:603.15pt;height:64.8pt;z-index:251750912;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" o:allowincell="f" fillcolor="#4f81bd [3204]" strokecolor="#4f81bd [3204]">
                    <w10:wrap anchorx="page" anchory="margin"/>
                  </v:rect>
                </w:pict>
              </mc:Fallback>
            </mc:AlternateContent>
          </w:r>
        </w:p>
        <w:p w:rsidR="00701552" w:rsidRDefault="00701552" w:rsidP="00701552">
          <w:pPr>
            <w:pStyle w:val="NoSpacing"/>
            <w:rPr>
              <w:rFonts w:asciiTheme="majorHAnsi" w:eastAsiaTheme="majorEastAsia" w:hAnsiTheme="majorHAnsi" w:cstheme="majorBidi"/>
              <w:sz w:val="72"/>
              <w:szCs w:val="72"/>
            </w:rPr>
          </w:pPr>
        </w:p>
        <w:p w:rsidR="00701552" w:rsidRDefault="00701552" w:rsidP="00701552">
          <w:pPr>
            <w:pStyle w:val="NoSpacing"/>
            <w:rPr>
              <w:rFonts w:asciiTheme="majorHAnsi" w:eastAsiaTheme="majorEastAsia" w:hAnsiTheme="majorHAnsi" w:cstheme="majorBidi"/>
              <w:sz w:val="36"/>
              <w:szCs w:val="36"/>
            </w:rPr>
          </w:pPr>
        </w:p>
        <w:p w:rsidR="00701552" w:rsidRDefault="00701552" w:rsidP="00701552">
          <w:pPr>
            <w:pBdr>
              <w:top w:val="single" w:sz="4" w:space="1" w:color="auto"/>
              <w:left w:val="single" w:sz="4" w:space="4" w:color="auto"/>
              <w:bottom w:val="single" w:sz="4" w:space="1" w:color="auto"/>
              <w:right w:val="single" w:sz="4" w:space="0" w:color="auto"/>
            </w:pBdr>
            <w:tabs>
              <w:tab w:val="num" w:pos="720"/>
            </w:tabs>
            <w:spacing w:line="480" w:lineRule="auto"/>
            <w:jc w:val="center"/>
            <w:rPr>
              <w:rFonts w:eastAsia="Times New Roman" w:cs="Arial"/>
              <w:bCs/>
              <w:szCs w:val="24"/>
            </w:rPr>
          </w:pPr>
        </w:p>
        <w:p w:rsidR="00701552" w:rsidRDefault="00701552" w:rsidP="00701552">
          <w:pPr>
            <w:pBdr>
              <w:top w:val="single" w:sz="4" w:space="1" w:color="auto"/>
              <w:left w:val="single" w:sz="4" w:space="4" w:color="auto"/>
              <w:bottom w:val="single" w:sz="4" w:space="1" w:color="auto"/>
              <w:right w:val="single" w:sz="4" w:space="0" w:color="auto"/>
            </w:pBdr>
            <w:tabs>
              <w:tab w:val="num" w:pos="720"/>
            </w:tabs>
            <w:spacing w:line="480" w:lineRule="auto"/>
            <w:jc w:val="center"/>
            <w:rPr>
              <w:rFonts w:cs="Arial"/>
              <w:b/>
              <w:bCs/>
            </w:rPr>
          </w:pPr>
          <w:r>
            <w:rPr>
              <w:rFonts w:cs="Arial"/>
              <w:b/>
              <w:bCs/>
            </w:rPr>
            <w:t>Outline Business Case (OBC)</w:t>
          </w:r>
        </w:p>
        <w:p w:rsidR="00701552" w:rsidRDefault="00701552" w:rsidP="00701552">
          <w:pPr>
            <w:pBdr>
              <w:top w:val="single" w:sz="4" w:space="1" w:color="auto"/>
              <w:left w:val="single" w:sz="4" w:space="4" w:color="auto"/>
              <w:bottom w:val="single" w:sz="4" w:space="1" w:color="auto"/>
              <w:right w:val="single" w:sz="4" w:space="0" w:color="auto"/>
            </w:pBdr>
            <w:tabs>
              <w:tab w:val="num" w:pos="720"/>
            </w:tabs>
            <w:spacing w:line="480" w:lineRule="auto"/>
            <w:jc w:val="center"/>
            <w:rPr>
              <w:rFonts w:cs="Arial"/>
              <w:bCs/>
            </w:rPr>
          </w:pPr>
          <w:proofErr w:type="gramStart"/>
          <w:r>
            <w:rPr>
              <w:rFonts w:cs="Arial"/>
              <w:bCs/>
            </w:rPr>
            <w:t>Title :</w:t>
          </w:r>
          <w:proofErr w:type="gramEnd"/>
          <w:r>
            <w:rPr>
              <w:rFonts w:cs="Arial"/>
              <w:bCs/>
            </w:rPr>
            <w:t xml:space="preserve"> Pathology Solution for </w:t>
          </w:r>
          <w:r>
            <w:rPr>
              <w:rFonts w:cs="Arial"/>
              <w:sz w:val="22"/>
            </w:rPr>
            <w:t>Pilgrim Hospital Urgent Care Project</w:t>
          </w:r>
        </w:p>
        <w:p w:rsidR="00701552" w:rsidRDefault="00701552" w:rsidP="00701552">
          <w:pPr>
            <w:pBdr>
              <w:top w:val="single" w:sz="4" w:space="1" w:color="auto"/>
              <w:left w:val="single" w:sz="4" w:space="4" w:color="auto"/>
              <w:bottom w:val="single" w:sz="4" w:space="1" w:color="auto"/>
              <w:right w:val="single" w:sz="4" w:space="0" w:color="auto"/>
            </w:pBdr>
            <w:tabs>
              <w:tab w:val="num" w:pos="720"/>
            </w:tabs>
            <w:spacing w:line="480" w:lineRule="auto"/>
            <w:jc w:val="center"/>
            <w:rPr>
              <w:rFonts w:cs="Arial"/>
            </w:rPr>
          </w:pPr>
          <w:r>
            <w:rPr>
              <w:rFonts w:cs="Arial"/>
            </w:rPr>
            <w:t>Division/</w:t>
          </w:r>
          <w:proofErr w:type="gramStart"/>
          <w:r>
            <w:rPr>
              <w:rFonts w:cs="Arial"/>
            </w:rPr>
            <w:t>Directorate :</w:t>
          </w:r>
          <w:proofErr w:type="gramEnd"/>
          <w:r>
            <w:rPr>
              <w:rFonts w:cs="Arial"/>
            </w:rPr>
            <w:t xml:space="preserve"> CSS – Path Links</w:t>
          </w:r>
        </w:p>
        <w:p w:rsidR="00701552" w:rsidRDefault="00701552" w:rsidP="00701552">
          <w:pPr>
            <w:pBdr>
              <w:top w:val="single" w:sz="4" w:space="1" w:color="auto"/>
              <w:left w:val="single" w:sz="4" w:space="4" w:color="auto"/>
              <w:bottom w:val="single" w:sz="4" w:space="1" w:color="auto"/>
              <w:right w:val="single" w:sz="4" w:space="0" w:color="auto"/>
            </w:pBdr>
            <w:tabs>
              <w:tab w:val="num" w:pos="720"/>
            </w:tabs>
            <w:spacing w:line="480" w:lineRule="auto"/>
            <w:jc w:val="center"/>
            <w:rPr>
              <w:rFonts w:cs="Arial"/>
            </w:rPr>
          </w:pPr>
          <w:r>
            <w:rPr>
              <w:rFonts w:cs="Arial"/>
            </w:rPr>
            <w:t xml:space="preserve">Clinical Lead (if required): </w:t>
          </w:r>
        </w:p>
        <w:p w:rsidR="00701552" w:rsidRDefault="00701552" w:rsidP="00701552">
          <w:pPr>
            <w:pBdr>
              <w:top w:val="single" w:sz="4" w:space="1" w:color="auto"/>
              <w:left w:val="single" w:sz="4" w:space="4" w:color="auto"/>
              <w:bottom w:val="single" w:sz="4" w:space="1" w:color="auto"/>
              <w:right w:val="single" w:sz="4" w:space="0" w:color="auto"/>
            </w:pBdr>
            <w:tabs>
              <w:tab w:val="num" w:pos="720"/>
            </w:tabs>
            <w:spacing w:line="480" w:lineRule="auto"/>
            <w:jc w:val="center"/>
            <w:rPr>
              <w:rFonts w:cs="Arial"/>
            </w:rPr>
          </w:pPr>
          <w:proofErr w:type="gramStart"/>
          <w:r>
            <w:rPr>
              <w:rFonts w:cs="Arial"/>
            </w:rPr>
            <w:t>Author :</w:t>
          </w:r>
          <w:proofErr w:type="gramEnd"/>
          <w:r>
            <w:rPr>
              <w:rFonts w:cs="Arial"/>
            </w:rPr>
            <w:t xml:space="preserve"> Path Links Pilgrim Pathology Site Manager</w:t>
          </w:r>
        </w:p>
        <w:p w:rsidR="00701552" w:rsidRDefault="00701552" w:rsidP="00701552">
          <w:pPr>
            <w:pStyle w:val="NoSpacing"/>
            <w:rPr>
              <w:rFonts w:asciiTheme="majorHAnsi" w:eastAsiaTheme="majorEastAsia" w:hAnsiTheme="majorHAnsi" w:cstheme="majorBidi"/>
              <w:sz w:val="36"/>
              <w:szCs w:val="36"/>
            </w:rPr>
          </w:pPr>
        </w:p>
        <w:p w:rsidR="00701552" w:rsidRDefault="00701552" w:rsidP="00701552">
          <w:pPr>
            <w:rPr>
              <w:rFonts w:ascii="Times New Roman" w:eastAsia="Times New Roman" w:hAnsi="Times New Roman" w:cs="Times New Roman"/>
              <w:szCs w:val="24"/>
            </w:rPr>
          </w:pPr>
        </w:p>
        <w:tbl>
          <w:tblPr>
            <w:tblW w:w="10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0"/>
            <w:gridCol w:w="3859"/>
            <w:gridCol w:w="2867"/>
          </w:tblGrid>
          <w:tr w:rsidR="00701552" w:rsidTr="00701552">
            <w:trPr>
              <w:trHeight w:val="690"/>
            </w:trPr>
            <w:tc>
              <w:tcPr>
                <w:tcW w:w="3620" w:type="dxa"/>
                <w:tcBorders>
                  <w:top w:val="single" w:sz="4" w:space="0" w:color="auto"/>
                  <w:left w:val="single" w:sz="4" w:space="0" w:color="auto"/>
                  <w:bottom w:val="single" w:sz="4" w:space="0" w:color="auto"/>
                  <w:right w:val="single" w:sz="4" w:space="0" w:color="auto"/>
                </w:tcBorders>
              </w:tcPr>
              <w:p w:rsidR="00701552" w:rsidRDefault="00701552">
                <w:pPr>
                  <w:autoSpaceDE w:val="0"/>
                  <w:autoSpaceDN w:val="0"/>
                  <w:adjustRightInd w:val="0"/>
                  <w:spacing w:line="276" w:lineRule="auto"/>
                  <w:rPr>
                    <w:rFonts w:cs="Arial"/>
                    <w:sz w:val="20"/>
                    <w:szCs w:val="20"/>
                  </w:rPr>
                </w:pPr>
              </w:p>
              <w:p w:rsidR="00701552" w:rsidRDefault="00701552">
                <w:pPr>
                  <w:autoSpaceDE w:val="0"/>
                  <w:autoSpaceDN w:val="0"/>
                  <w:adjustRightInd w:val="0"/>
                  <w:spacing w:line="276" w:lineRule="auto"/>
                  <w:rPr>
                    <w:rFonts w:cs="Arial"/>
                    <w:sz w:val="20"/>
                    <w:szCs w:val="20"/>
                  </w:rPr>
                </w:pPr>
                <w:r>
                  <w:rPr>
                    <w:rFonts w:cs="Arial"/>
                    <w:sz w:val="20"/>
                    <w:szCs w:val="20"/>
                  </w:rPr>
                  <w:t>DATE</w:t>
                </w:r>
              </w:p>
              <w:p w:rsidR="00701552" w:rsidRDefault="00701552">
                <w:pPr>
                  <w:autoSpaceDE w:val="0"/>
                  <w:autoSpaceDN w:val="0"/>
                  <w:adjustRightInd w:val="0"/>
                  <w:spacing w:line="276" w:lineRule="auto"/>
                  <w:rPr>
                    <w:rFonts w:cs="Arial"/>
                    <w:sz w:val="20"/>
                    <w:szCs w:val="20"/>
                  </w:rPr>
                </w:pPr>
              </w:p>
            </w:tc>
            <w:tc>
              <w:tcPr>
                <w:tcW w:w="6726" w:type="dxa"/>
                <w:gridSpan w:val="2"/>
                <w:tcBorders>
                  <w:top w:val="single" w:sz="4" w:space="0" w:color="auto"/>
                  <w:left w:val="single" w:sz="4" w:space="0" w:color="auto"/>
                  <w:bottom w:val="single" w:sz="4" w:space="0" w:color="auto"/>
                  <w:right w:val="single" w:sz="4" w:space="0" w:color="auto"/>
                </w:tcBorders>
              </w:tcPr>
              <w:p w:rsidR="00701552" w:rsidRDefault="00701552">
                <w:pPr>
                  <w:autoSpaceDE w:val="0"/>
                  <w:autoSpaceDN w:val="0"/>
                  <w:adjustRightInd w:val="0"/>
                  <w:spacing w:line="276" w:lineRule="auto"/>
                  <w:rPr>
                    <w:rFonts w:cs="Arial"/>
                    <w:sz w:val="20"/>
                    <w:szCs w:val="20"/>
                  </w:rPr>
                </w:pPr>
              </w:p>
              <w:p w:rsidR="00701552" w:rsidRDefault="00701552">
                <w:pPr>
                  <w:autoSpaceDE w:val="0"/>
                  <w:autoSpaceDN w:val="0"/>
                  <w:adjustRightInd w:val="0"/>
                  <w:spacing w:line="276" w:lineRule="auto"/>
                  <w:rPr>
                    <w:rFonts w:cs="Arial"/>
                    <w:sz w:val="20"/>
                    <w:szCs w:val="20"/>
                  </w:rPr>
                </w:pPr>
                <w:r>
                  <w:rPr>
                    <w:rFonts w:cs="Arial"/>
                    <w:sz w:val="20"/>
                    <w:szCs w:val="20"/>
                  </w:rPr>
                  <w:t xml:space="preserve"> November 2019</w:t>
                </w:r>
              </w:p>
            </w:tc>
          </w:tr>
          <w:tr w:rsidR="00701552" w:rsidTr="00701552">
            <w:trPr>
              <w:trHeight w:val="706"/>
            </w:trPr>
            <w:tc>
              <w:tcPr>
                <w:tcW w:w="3620" w:type="dxa"/>
                <w:tcBorders>
                  <w:top w:val="single" w:sz="4" w:space="0" w:color="auto"/>
                  <w:left w:val="single" w:sz="4" w:space="0" w:color="auto"/>
                  <w:bottom w:val="single" w:sz="4" w:space="0" w:color="auto"/>
                  <w:right w:val="single" w:sz="4" w:space="0" w:color="auto"/>
                </w:tcBorders>
              </w:tcPr>
              <w:p w:rsidR="00701552" w:rsidRDefault="00701552">
                <w:pPr>
                  <w:autoSpaceDE w:val="0"/>
                  <w:autoSpaceDN w:val="0"/>
                  <w:adjustRightInd w:val="0"/>
                  <w:spacing w:line="276" w:lineRule="auto"/>
                  <w:rPr>
                    <w:rFonts w:cs="Arial"/>
                    <w:sz w:val="20"/>
                    <w:szCs w:val="20"/>
                  </w:rPr>
                </w:pPr>
              </w:p>
              <w:p w:rsidR="00701552" w:rsidRDefault="00701552">
                <w:pPr>
                  <w:autoSpaceDE w:val="0"/>
                  <w:autoSpaceDN w:val="0"/>
                  <w:adjustRightInd w:val="0"/>
                  <w:spacing w:line="276" w:lineRule="auto"/>
                  <w:rPr>
                    <w:rFonts w:cs="Arial"/>
                    <w:sz w:val="20"/>
                    <w:szCs w:val="20"/>
                  </w:rPr>
                </w:pPr>
                <w:r>
                  <w:rPr>
                    <w:rFonts w:cs="Arial"/>
                    <w:sz w:val="20"/>
                    <w:szCs w:val="20"/>
                  </w:rPr>
                  <w:t>DOCUMENT VERSION</w:t>
                </w:r>
              </w:p>
              <w:p w:rsidR="00701552" w:rsidRDefault="00701552">
                <w:pPr>
                  <w:autoSpaceDE w:val="0"/>
                  <w:autoSpaceDN w:val="0"/>
                  <w:adjustRightInd w:val="0"/>
                  <w:spacing w:line="276" w:lineRule="auto"/>
                  <w:rPr>
                    <w:rFonts w:cs="Arial"/>
                    <w:sz w:val="20"/>
                    <w:szCs w:val="20"/>
                  </w:rPr>
                </w:pPr>
              </w:p>
            </w:tc>
            <w:tc>
              <w:tcPr>
                <w:tcW w:w="6726" w:type="dxa"/>
                <w:gridSpan w:val="2"/>
                <w:tcBorders>
                  <w:top w:val="single" w:sz="4" w:space="0" w:color="auto"/>
                  <w:left w:val="single" w:sz="4" w:space="0" w:color="auto"/>
                  <w:bottom w:val="single" w:sz="4" w:space="0" w:color="auto"/>
                  <w:right w:val="single" w:sz="4" w:space="0" w:color="auto"/>
                </w:tcBorders>
              </w:tcPr>
              <w:p w:rsidR="00701552" w:rsidRDefault="00701552">
                <w:pPr>
                  <w:autoSpaceDE w:val="0"/>
                  <w:autoSpaceDN w:val="0"/>
                  <w:adjustRightInd w:val="0"/>
                  <w:spacing w:line="276" w:lineRule="auto"/>
                  <w:rPr>
                    <w:rFonts w:cs="Arial"/>
                    <w:sz w:val="20"/>
                    <w:szCs w:val="20"/>
                  </w:rPr>
                </w:pPr>
              </w:p>
              <w:p w:rsidR="00701552" w:rsidRDefault="00701552">
                <w:pPr>
                  <w:autoSpaceDE w:val="0"/>
                  <w:autoSpaceDN w:val="0"/>
                  <w:adjustRightInd w:val="0"/>
                  <w:spacing w:line="276" w:lineRule="auto"/>
                  <w:rPr>
                    <w:rFonts w:cs="Arial"/>
                    <w:sz w:val="20"/>
                    <w:szCs w:val="20"/>
                  </w:rPr>
                </w:pPr>
                <w:r>
                  <w:rPr>
                    <w:rFonts w:cs="Arial"/>
                    <w:sz w:val="20"/>
                    <w:szCs w:val="20"/>
                  </w:rPr>
                  <w:t>1</w:t>
                </w:r>
              </w:p>
            </w:tc>
          </w:tr>
          <w:tr w:rsidR="00701552" w:rsidTr="00701552">
            <w:trPr>
              <w:trHeight w:val="1890"/>
            </w:trPr>
            <w:tc>
              <w:tcPr>
                <w:tcW w:w="3620" w:type="dxa"/>
                <w:tcBorders>
                  <w:top w:val="single" w:sz="4" w:space="0" w:color="auto"/>
                  <w:left w:val="single" w:sz="4" w:space="0" w:color="auto"/>
                  <w:bottom w:val="single" w:sz="4" w:space="0" w:color="auto"/>
                  <w:right w:val="single" w:sz="4" w:space="0" w:color="auto"/>
                </w:tcBorders>
              </w:tcPr>
              <w:p w:rsidR="00701552" w:rsidRDefault="00701552">
                <w:pPr>
                  <w:autoSpaceDE w:val="0"/>
                  <w:autoSpaceDN w:val="0"/>
                  <w:adjustRightInd w:val="0"/>
                  <w:spacing w:line="276" w:lineRule="auto"/>
                  <w:rPr>
                    <w:rFonts w:cs="Arial"/>
                    <w:sz w:val="20"/>
                    <w:szCs w:val="20"/>
                  </w:rPr>
                </w:pPr>
              </w:p>
              <w:p w:rsidR="00701552" w:rsidRDefault="00701552">
                <w:pPr>
                  <w:autoSpaceDE w:val="0"/>
                  <w:autoSpaceDN w:val="0"/>
                  <w:adjustRightInd w:val="0"/>
                  <w:spacing w:line="276" w:lineRule="auto"/>
                  <w:rPr>
                    <w:rFonts w:cs="Arial"/>
                    <w:sz w:val="20"/>
                    <w:szCs w:val="20"/>
                  </w:rPr>
                </w:pPr>
                <w:r>
                  <w:rPr>
                    <w:rFonts w:cs="Arial"/>
                    <w:sz w:val="20"/>
                    <w:szCs w:val="20"/>
                  </w:rPr>
                  <w:t>WORKING GROUP MEMBERS</w:t>
                </w:r>
              </w:p>
              <w:p w:rsidR="00701552" w:rsidRDefault="00701552">
                <w:pPr>
                  <w:autoSpaceDE w:val="0"/>
                  <w:autoSpaceDN w:val="0"/>
                  <w:adjustRightInd w:val="0"/>
                  <w:spacing w:line="276" w:lineRule="auto"/>
                  <w:rPr>
                    <w:rFonts w:cs="Arial"/>
                    <w:i/>
                    <w:sz w:val="20"/>
                    <w:szCs w:val="20"/>
                  </w:rPr>
                </w:pPr>
              </w:p>
              <w:p w:rsidR="00701552" w:rsidRDefault="00701552">
                <w:pPr>
                  <w:autoSpaceDE w:val="0"/>
                  <w:autoSpaceDN w:val="0"/>
                  <w:adjustRightInd w:val="0"/>
                  <w:spacing w:line="276" w:lineRule="auto"/>
                  <w:rPr>
                    <w:rFonts w:cs="Arial"/>
                    <w:i/>
                    <w:sz w:val="20"/>
                    <w:szCs w:val="20"/>
                  </w:rPr>
                </w:pPr>
              </w:p>
              <w:p w:rsidR="00701552" w:rsidRDefault="00701552">
                <w:pPr>
                  <w:autoSpaceDE w:val="0"/>
                  <w:autoSpaceDN w:val="0"/>
                  <w:adjustRightInd w:val="0"/>
                  <w:spacing w:line="276" w:lineRule="auto"/>
                  <w:rPr>
                    <w:rFonts w:cs="Arial"/>
                    <w:sz w:val="20"/>
                    <w:szCs w:val="20"/>
                  </w:rPr>
                </w:pPr>
              </w:p>
              <w:p w:rsidR="00701552" w:rsidRDefault="00701552">
                <w:pPr>
                  <w:autoSpaceDE w:val="0"/>
                  <w:autoSpaceDN w:val="0"/>
                  <w:adjustRightInd w:val="0"/>
                  <w:spacing w:line="276" w:lineRule="auto"/>
                  <w:ind w:left="720"/>
                  <w:rPr>
                    <w:rFonts w:cs="Arial"/>
                    <w:sz w:val="20"/>
                    <w:szCs w:val="20"/>
                  </w:rPr>
                </w:pPr>
              </w:p>
            </w:tc>
            <w:tc>
              <w:tcPr>
                <w:tcW w:w="3859" w:type="dxa"/>
                <w:tcBorders>
                  <w:top w:val="single" w:sz="4" w:space="0" w:color="auto"/>
                  <w:left w:val="single" w:sz="4" w:space="0" w:color="auto"/>
                  <w:bottom w:val="single" w:sz="4" w:space="0" w:color="auto"/>
                  <w:right w:val="single" w:sz="4" w:space="0" w:color="auto"/>
                </w:tcBorders>
              </w:tcPr>
              <w:p w:rsidR="00701552" w:rsidRDefault="00701552">
                <w:pPr>
                  <w:autoSpaceDE w:val="0"/>
                  <w:autoSpaceDN w:val="0"/>
                  <w:adjustRightInd w:val="0"/>
                  <w:spacing w:line="276" w:lineRule="auto"/>
                  <w:rPr>
                    <w:rFonts w:cs="Arial"/>
                    <w:b/>
                    <w:sz w:val="20"/>
                    <w:szCs w:val="20"/>
                  </w:rPr>
                </w:pPr>
                <w:r>
                  <w:rPr>
                    <w:rFonts w:cs="Arial"/>
                    <w:b/>
                    <w:sz w:val="20"/>
                    <w:szCs w:val="20"/>
                  </w:rPr>
                  <w:t>Title:</w:t>
                </w:r>
              </w:p>
              <w:p w:rsidR="00701552" w:rsidRDefault="00701552">
                <w:pPr>
                  <w:autoSpaceDE w:val="0"/>
                  <w:autoSpaceDN w:val="0"/>
                  <w:adjustRightInd w:val="0"/>
                  <w:spacing w:line="276" w:lineRule="auto"/>
                  <w:rPr>
                    <w:rFonts w:cs="Arial"/>
                    <w:sz w:val="20"/>
                    <w:szCs w:val="20"/>
                  </w:rPr>
                </w:pPr>
              </w:p>
              <w:p w:rsidR="00701552" w:rsidRDefault="00701552">
                <w:pPr>
                  <w:autoSpaceDE w:val="0"/>
                  <w:autoSpaceDN w:val="0"/>
                  <w:adjustRightInd w:val="0"/>
                  <w:spacing w:line="276" w:lineRule="auto"/>
                  <w:rPr>
                    <w:rFonts w:cs="Arial"/>
                    <w:sz w:val="20"/>
                    <w:szCs w:val="20"/>
                  </w:rPr>
                </w:pPr>
                <w:r>
                  <w:rPr>
                    <w:rFonts w:cs="Arial"/>
                    <w:sz w:val="20"/>
                    <w:szCs w:val="20"/>
                  </w:rPr>
                  <w:t>Path Links</w:t>
                </w:r>
              </w:p>
              <w:p w:rsidR="00701552" w:rsidRDefault="00701552">
                <w:pPr>
                  <w:autoSpaceDE w:val="0"/>
                  <w:autoSpaceDN w:val="0"/>
                  <w:adjustRightInd w:val="0"/>
                  <w:spacing w:line="276" w:lineRule="auto"/>
                  <w:rPr>
                    <w:rFonts w:cs="Arial"/>
                    <w:sz w:val="20"/>
                    <w:szCs w:val="20"/>
                  </w:rPr>
                </w:pPr>
              </w:p>
            </w:tc>
            <w:tc>
              <w:tcPr>
                <w:tcW w:w="2867" w:type="dxa"/>
                <w:tcBorders>
                  <w:top w:val="single" w:sz="4" w:space="0" w:color="auto"/>
                  <w:left w:val="single" w:sz="4" w:space="0" w:color="auto"/>
                  <w:bottom w:val="single" w:sz="4" w:space="0" w:color="auto"/>
                  <w:right w:val="single" w:sz="4" w:space="0" w:color="auto"/>
                </w:tcBorders>
              </w:tcPr>
              <w:p w:rsidR="00701552" w:rsidRDefault="00701552">
                <w:pPr>
                  <w:autoSpaceDE w:val="0"/>
                  <w:autoSpaceDN w:val="0"/>
                  <w:adjustRightInd w:val="0"/>
                  <w:spacing w:line="276" w:lineRule="auto"/>
                  <w:rPr>
                    <w:rFonts w:cs="Arial"/>
                    <w:b/>
                    <w:sz w:val="20"/>
                    <w:szCs w:val="20"/>
                  </w:rPr>
                </w:pPr>
                <w:r>
                  <w:rPr>
                    <w:rFonts w:cs="Arial"/>
                    <w:b/>
                    <w:sz w:val="20"/>
                    <w:szCs w:val="20"/>
                  </w:rPr>
                  <w:t>Name:</w:t>
                </w:r>
              </w:p>
              <w:p w:rsidR="00701552" w:rsidRDefault="00701552">
                <w:pPr>
                  <w:autoSpaceDE w:val="0"/>
                  <w:autoSpaceDN w:val="0"/>
                  <w:adjustRightInd w:val="0"/>
                  <w:spacing w:line="276" w:lineRule="auto"/>
                  <w:rPr>
                    <w:rFonts w:cs="Arial"/>
                    <w:b/>
                    <w:sz w:val="20"/>
                    <w:szCs w:val="20"/>
                  </w:rPr>
                </w:pPr>
              </w:p>
              <w:p w:rsidR="00701552" w:rsidRDefault="00701552">
                <w:pPr>
                  <w:autoSpaceDE w:val="0"/>
                  <w:autoSpaceDN w:val="0"/>
                  <w:adjustRightInd w:val="0"/>
                  <w:spacing w:line="276" w:lineRule="auto"/>
                  <w:rPr>
                    <w:rFonts w:cs="Arial"/>
                    <w:sz w:val="20"/>
                    <w:szCs w:val="20"/>
                  </w:rPr>
                </w:pPr>
              </w:p>
            </w:tc>
          </w:tr>
        </w:tbl>
        <w:p w:rsidR="00701552" w:rsidRDefault="00701552" w:rsidP="00701552">
          <w:pPr>
            <w:spacing w:after="200" w:line="276" w:lineRule="auto"/>
            <w:rPr>
              <w:rFonts w:eastAsia="Times New Roman" w:cs="Arial"/>
              <w:b/>
              <w:sz w:val="22"/>
              <w:lang w:eastAsia="en-GB"/>
            </w:rPr>
          </w:pPr>
        </w:p>
        <w:tbl>
          <w:tblPr>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4A0" w:firstRow="1" w:lastRow="0" w:firstColumn="1" w:lastColumn="0" w:noHBand="0" w:noVBand="1"/>
          </w:tblPr>
          <w:tblGrid>
            <w:gridCol w:w="7309"/>
            <w:gridCol w:w="3034"/>
          </w:tblGrid>
          <w:tr w:rsidR="00701552" w:rsidTr="00701552">
            <w:trPr>
              <w:trHeight w:val="282"/>
            </w:trPr>
            <w:tc>
              <w:tcPr>
                <w:tcW w:w="7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01552" w:rsidRDefault="00701552">
                <w:pPr>
                  <w:suppressAutoHyphens/>
                  <w:autoSpaceDN w:val="0"/>
                  <w:spacing w:line="276" w:lineRule="auto"/>
                  <w:textAlignment w:val="baseline"/>
                  <w:rPr>
                    <w:rFonts w:eastAsia="Calibri" w:cs="Arial"/>
                    <w:b/>
                    <w:sz w:val="22"/>
                  </w:rPr>
                </w:pPr>
                <w:r>
                  <w:rPr>
                    <w:rFonts w:eastAsia="Calibri" w:cs="Arial"/>
                    <w:b/>
                    <w:sz w:val="22"/>
                  </w:rPr>
                  <w:t>Approving Body (where required)</w:t>
                </w:r>
              </w:p>
            </w:tc>
            <w:tc>
              <w:tcPr>
                <w:tcW w:w="30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01552" w:rsidRDefault="00701552">
                <w:pPr>
                  <w:suppressAutoHyphens/>
                  <w:autoSpaceDN w:val="0"/>
                  <w:spacing w:line="276" w:lineRule="auto"/>
                  <w:textAlignment w:val="baseline"/>
                  <w:rPr>
                    <w:rFonts w:eastAsia="Calibri" w:cs="Arial"/>
                    <w:b/>
                    <w:szCs w:val="24"/>
                  </w:rPr>
                </w:pPr>
                <w:r>
                  <w:rPr>
                    <w:rFonts w:eastAsia="Calibri" w:cs="Arial"/>
                    <w:b/>
                  </w:rPr>
                  <w:t>Date Approved</w:t>
                </w:r>
              </w:p>
            </w:tc>
          </w:tr>
          <w:tr w:rsidR="00701552" w:rsidTr="00701552">
            <w:trPr>
              <w:trHeight w:val="282"/>
            </w:trPr>
            <w:tc>
              <w:tcPr>
                <w:tcW w:w="7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01552" w:rsidRDefault="00701552">
                <w:pPr>
                  <w:suppressAutoHyphens/>
                  <w:autoSpaceDN w:val="0"/>
                  <w:spacing w:line="276" w:lineRule="auto"/>
                  <w:textAlignment w:val="baseline"/>
                  <w:rPr>
                    <w:rFonts w:eastAsia="Calibri" w:cs="Arial"/>
                    <w:sz w:val="22"/>
                  </w:rPr>
                </w:pPr>
                <w:r>
                  <w:rPr>
                    <w:rFonts w:eastAsia="Calibri" w:cs="Arial"/>
                    <w:sz w:val="22"/>
                  </w:rPr>
                  <w:t>Trust Board</w:t>
                </w:r>
              </w:p>
            </w:tc>
            <w:tc>
              <w:tcPr>
                <w:tcW w:w="30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01552" w:rsidRDefault="00701552">
                <w:pPr>
                  <w:suppressAutoHyphens/>
                  <w:autoSpaceDN w:val="0"/>
                  <w:spacing w:line="276" w:lineRule="auto"/>
                  <w:textAlignment w:val="baseline"/>
                  <w:rPr>
                    <w:rFonts w:eastAsia="Times New Roman" w:cs="Arial"/>
                    <w:color w:val="7030A0"/>
                    <w:sz w:val="20"/>
                    <w:szCs w:val="20"/>
                  </w:rPr>
                </w:pPr>
                <w:r>
                  <w:rPr>
                    <w:rFonts w:cs="Arial"/>
                    <w:color w:val="7030A0"/>
                    <w:sz w:val="20"/>
                    <w:szCs w:val="20"/>
                  </w:rPr>
                  <w:t>[insert]</w:t>
                </w:r>
              </w:p>
            </w:tc>
          </w:tr>
          <w:tr w:rsidR="00701552" w:rsidTr="00701552">
            <w:trPr>
              <w:trHeight w:val="282"/>
            </w:trPr>
            <w:tc>
              <w:tcPr>
                <w:tcW w:w="7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01552" w:rsidRDefault="00701552">
                <w:pPr>
                  <w:suppressAutoHyphens/>
                  <w:autoSpaceDN w:val="0"/>
                  <w:spacing w:line="276" w:lineRule="auto"/>
                  <w:textAlignment w:val="baseline"/>
                  <w:rPr>
                    <w:rFonts w:eastAsia="Calibri" w:cs="Arial"/>
                    <w:sz w:val="22"/>
                  </w:rPr>
                </w:pPr>
                <w:r>
                  <w:rPr>
                    <w:rFonts w:eastAsia="Calibri" w:cs="Arial"/>
                    <w:sz w:val="22"/>
                  </w:rPr>
                  <w:t>Trust Management Board</w:t>
                </w:r>
              </w:p>
            </w:tc>
            <w:tc>
              <w:tcPr>
                <w:tcW w:w="30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01552" w:rsidRDefault="00701552">
                <w:pPr>
                  <w:suppressAutoHyphens/>
                  <w:autoSpaceDN w:val="0"/>
                  <w:spacing w:line="276" w:lineRule="auto"/>
                  <w:textAlignment w:val="baseline"/>
                  <w:rPr>
                    <w:rFonts w:eastAsia="Calibri" w:cs="Arial"/>
                    <w:szCs w:val="24"/>
                  </w:rPr>
                </w:pPr>
                <w:r>
                  <w:rPr>
                    <w:rFonts w:cs="Arial"/>
                    <w:color w:val="7030A0"/>
                    <w:sz w:val="20"/>
                    <w:szCs w:val="20"/>
                  </w:rPr>
                  <w:t>[insert]</w:t>
                </w:r>
              </w:p>
            </w:tc>
          </w:tr>
          <w:tr w:rsidR="00701552" w:rsidTr="00701552">
            <w:trPr>
              <w:trHeight w:val="282"/>
            </w:trPr>
            <w:tc>
              <w:tcPr>
                <w:tcW w:w="7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01552" w:rsidRDefault="00701552">
                <w:pPr>
                  <w:suppressAutoHyphens/>
                  <w:autoSpaceDN w:val="0"/>
                  <w:spacing w:line="276" w:lineRule="auto"/>
                  <w:textAlignment w:val="baseline"/>
                  <w:rPr>
                    <w:rFonts w:eastAsia="Calibri" w:cs="Arial"/>
                    <w:sz w:val="22"/>
                  </w:rPr>
                </w:pPr>
                <w:r>
                  <w:rPr>
                    <w:rFonts w:eastAsia="Calibri" w:cs="Arial"/>
                    <w:sz w:val="22"/>
                  </w:rPr>
                  <w:t>Financial Planning Group (advisory forum)</w:t>
                </w:r>
              </w:p>
            </w:tc>
            <w:tc>
              <w:tcPr>
                <w:tcW w:w="30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01552" w:rsidRDefault="00701552">
                <w:pPr>
                  <w:suppressAutoHyphens/>
                  <w:autoSpaceDN w:val="0"/>
                  <w:spacing w:line="276" w:lineRule="auto"/>
                  <w:textAlignment w:val="baseline"/>
                  <w:rPr>
                    <w:rFonts w:eastAsia="Calibri" w:cs="Arial"/>
                    <w:szCs w:val="24"/>
                  </w:rPr>
                </w:pPr>
                <w:r>
                  <w:rPr>
                    <w:rFonts w:cs="Arial"/>
                    <w:color w:val="7030A0"/>
                    <w:sz w:val="20"/>
                    <w:szCs w:val="20"/>
                  </w:rPr>
                  <w:t>[insert]</w:t>
                </w:r>
              </w:p>
            </w:tc>
          </w:tr>
          <w:tr w:rsidR="00701552" w:rsidTr="00701552">
            <w:trPr>
              <w:trHeight w:val="297"/>
            </w:trPr>
            <w:tc>
              <w:tcPr>
                <w:tcW w:w="7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01552" w:rsidRDefault="00701552">
                <w:pPr>
                  <w:suppressAutoHyphens/>
                  <w:autoSpaceDN w:val="0"/>
                  <w:spacing w:line="276" w:lineRule="auto"/>
                  <w:textAlignment w:val="baseline"/>
                  <w:rPr>
                    <w:rFonts w:eastAsia="Calibri" w:cs="Arial"/>
                    <w:sz w:val="22"/>
                  </w:rPr>
                </w:pPr>
                <w:r>
                  <w:rPr>
                    <w:rFonts w:eastAsia="Calibri" w:cs="Arial"/>
                    <w:sz w:val="22"/>
                  </w:rPr>
                  <w:t>Divisional/Directorate sign off (</w:t>
                </w:r>
                <w:proofErr w:type="spellStart"/>
                <w:r>
                  <w:rPr>
                    <w:rFonts w:eastAsia="Calibri" w:cs="Arial"/>
                    <w:sz w:val="22"/>
                  </w:rPr>
                  <w:t>ie</w:t>
                </w:r>
                <w:proofErr w:type="spellEnd"/>
                <w:r>
                  <w:rPr>
                    <w:rFonts w:eastAsia="Calibri" w:cs="Arial"/>
                    <w:sz w:val="22"/>
                  </w:rPr>
                  <w:t xml:space="preserve"> SMT)</w:t>
                </w:r>
              </w:p>
            </w:tc>
            <w:tc>
              <w:tcPr>
                <w:tcW w:w="30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01552" w:rsidRDefault="00701552">
                <w:pPr>
                  <w:suppressAutoHyphens/>
                  <w:autoSpaceDN w:val="0"/>
                  <w:spacing w:line="276" w:lineRule="auto"/>
                  <w:textAlignment w:val="baseline"/>
                  <w:rPr>
                    <w:rFonts w:eastAsia="Calibri" w:cs="Arial"/>
                    <w:szCs w:val="24"/>
                  </w:rPr>
                </w:pPr>
                <w:r>
                  <w:rPr>
                    <w:rFonts w:cs="Arial"/>
                    <w:color w:val="7030A0"/>
                    <w:sz w:val="20"/>
                    <w:szCs w:val="20"/>
                  </w:rPr>
                  <w:t>[insert]</w:t>
                </w:r>
              </w:p>
            </w:tc>
          </w:tr>
          <w:tr w:rsidR="00701552" w:rsidTr="00701552">
            <w:trPr>
              <w:trHeight w:val="297"/>
            </w:trPr>
            <w:tc>
              <w:tcPr>
                <w:tcW w:w="73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01552" w:rsidRDefault="00701552">
                <w:pPr>
                  <w:suppressAutoHyphens/>
                  <w:autoSpaceDN w:val="0"/>
                  <w:spacing w:line="276" w:lineRule="auto"/>
                  <w:textAlignment w:val="baseline"/>
                  <w:rPr>
                    <w:rFonts w:eastAsia="Calibri" w:cs="Arial"/>
                    <w:sz w:val="22"/>
                  </w:rPr>
                </w:pPr>
                <w:r>
                  <w:rPr>
                    <w:rFonts w:eastAsia="Calibri" w:cs="Arial"/>
                    <w:sz w:val="22"/>
                  </w:rPr>
                  <w:t>Speciality Team (if required)</w:t>
                </w:r>
              </w:p>
            </w:tc>
            <w:tc>
              <w:tcPr>
                <w:tcW w:w="30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701552" w:rsidRDefault="00701552">
                <w:pPr>
                  <w:suppressAutoHyphens/>
                  <w:autoSpaceDN w:val="0"/>
                  <w:spacing w:line="276" w:lineRule="auto"/>
                  <w:textAlignment w:val="baseline"/>
                  <w:rPr>
                    <w:rFonts w:eastAsia="Times New Roman" w:cs="Arial"/>
                    <w:color w:val="7030A0"/>
                    <w:sz w:val="20"/>
                    <w:szCs w:val="20"/>
                  </w:rPr>
                </w:pPr>
                <w:r>
                  <w:rPr>
                    <w:rFonts w:cs="Arial"/>
                    <w:color w:val="7030A0"/>
                    <w:sz w:val="20"/>
                    <w:szCs w:val="20"/>
                  </w:rPr>
                  <w:t>[insert]</w:t>
                </w:r>
              </w:p>
            </w:tc>
          </w:tr>
        </w:tbl>
        <w:p w:rsidR="00701552" w:rsidRDefault="00701552" w:rsidP="00701552">
          <w:pPr>
            <w:spacing w:after="200" w:line="276" w:lineRule="auto"/>
            <w:jc w:val="center"/>
            <w:rPr>
              <w:rFonts w:eastAsia="Times New Roman" w:cs="Arial"/>
              <w:b/>
              <w:noProof/>
              <w:sz w:val="22"/>
              <w:lang w:eastAsia="en-GB"/>
            </w:rPr>
          </w:pPr>
          <w:r>
            <w:rPr>
              <w:rFonts w:cs="Arial"/>
              <w:b/>
              <w:noProof/>
              <w:sz w:val="22"/>
            </w:rPr>
            <w:t xml:space="preserve"> </w:t>
          </w:r>
        </w:p>
        <w:p w:rsidR="00701552" w:rsidRDefault="00701552" w:rsidP="00701552">
          <w:pPr>
            <w:spacing w:after="200" w:line="276" w:lineRule="auto"/>
            <w:jc w:val="both"/>
            <w:rPr>
              <w:rFonts w:cs="Arial"/>
              <w:b/>
              <w:noProof/>
              <w:sz w:val="22"/>
            </w:rPr>
          </w:pPr>
          <w:r>
            <w:rPr>
              <w:rFonts w:cs="Arial"/>
              <w:b/>
              <w:noProof/>
              <w:sz w:val="22"/>
              <w:lang w:eastAsia="en-GB"/>
            </w:rPr>
            <w:lastRenderedPageBreak/>
            <w:drawing>
              <wp:inline distT="0" distB="0" distL="0" distR="0">
                <wp:extent cx="2009775" cy="485775"/>
                <wp:effectExtent l="0" t="0" r="9525"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09775" cy="485775"/>
                        </a:xfrm>
                        <a:prstGeom prst="rect">
                          <a:avLst/>
                        </a:prstGeom>
                        <a:noFill/>
                        <a:ln>
                          <a:noFill/>
                        </a:ln>
                      </pic:spPr>
                    </pic:pic>
                  </a:graphicData>
                </a:graphic>
              </wp:inline>
            </w:drawing>
          </w:r>
        </w:p>
      </w:sdtContent>
    </w:sdt>
    <w:p w:rsidR="00701552" w:rsidRDefault="00701552" w:rsidP="00701552">
      <w:pPr>
        <w:pStyle w:val="TOCHeading"/>
        <w:spacing w:before="0"/>
        <w:jc w:val="center"/>
        <w:outlineLvl w:val="0"/>
        <w:rPr>
          <w:rFonts w:ascii="Arial" w:hAnsi="Arial" w:cs="Arial"/>
          <w:b/>
          <w:color w:val="005EB8"/>
          <w:sz w:val="40"/>
          <w:szCs w:val="40"/>
        </w:rPr>
      </w:pPr>
      <w:bookmarkStart w:id="71" w:name="_Toc494718774"/>
      <w:bookmarkStart w:id="72" w:name="_Toc482366085"/>
      <w:bookmarkStart w:id="73" w:name="_Toc494718775"/>
    </w:p>
    <w:p w:rsidR="00701552" w:rsidRDefault="00701552" w:rsidP="00701552">
      <w:pPr>
        <w:pStyle w:val="TOCHeading"/>
        <w:spacing w:before="0"/>
        <w:jc w:val="center"/>
        <w:outlineLvl w:val="0"/>
        <w:rPr>
          <w:rFonts w:ascii="Arial" w:hAnsi="Arial" w:cs="Arial"/>
          <w:color w:val="005EB8"/>
          <w:sz w:val="40"/>
          <w:szCs w:val="40"/>
        </w:rPr>
      </w:pPr>
      <w:bookmarkStart w:id="74" w:name="_Toc98324684"/>
      <w:bookmarkStart w:id="75" w:name="_Toc99880949"/>
      <w:bookmarkStart w:id="76" w:name="_Toc100070280"/>
      <w:bookmarkStart w:id="77" w:name="_Toc100307206"/>
      <w:bookmarkStart w:id="78" w:name="_Toc100307354"/>
      <w:bookmarkStart w:id="79" w:name="_Toc100318560"/>
      <w:bookmarkStart w:id="80" w:name="_Toc100320568"/>
      <w:bookmarkStart w:id="81" w:name="_Toc100341050"/>
      <w:bookmarkStart w:id="82" w:name="_Toc100569466"/>
      <w:bookmarkStart w:id="83" w:name="_Toc105493505"/>
      <w:bookmarkStart w:id="84" w:name="_Toc105665230"/>
      <w:r>
        <w:rPr>
          <w:rFonts w:ascii="Arial" w:hAnsi="Arial" w:cs="Arial"/>
          <w:color w:val="005EB8"/>
          <w:sz w:val="40"/>
          <w:szCs w:val="40"/>
        </w:rPr>
        <w:t>Table of Contents</w:t>
      </w:r>
      <w:bookmarkEnd w:id="71"/>
      <w:bookmarkEnd w:id="72"/>
      <w:bookmarkEnd w:id="74"/>
      <w:bookmarkEnd w:id="75"/>
      <w:bookmarkEnd w:id="76"/>
      <w:bookmarkEnd w:id="77"/>
      <w:bookmarkEnd w:id="78"/>
      <w:bookmarkEnd w:id="79"/>
      <w:bookmarkEnd w:id="80"/>
      <w:bookmarkEnd w:id="81"/>
      <w:bookmarkEnd w:id="82"/>
      <w:bookmarkEnd w:id="83"/>
      <w:bookmarkEnd w:id="84"/>
    </w:p>
    <w:p w:rsidR="00701552" w:rsidRDefault="00701552" w:rsidP="00701552">
      <w:pPr>
        <w:jc w:val="center"/>
        <w:rPr>
          <w:rFonts w:cs="Arial"/>
          <w:b/>
          <w:sz w:val="28"/>
          <w:szCs w:val="28"/>
        </w:rPr>
      </w:pP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i/>
        </w:rPr>
        <w:t>Page No</w:t>
      </w:r>
    </w:p>
    <w:p w:rsidR="00701552" w:rsidRDefault="00701552" w:rsidP="00701552">
      <w:pPr>
        <w:jc w:val="center"/>
        <w:rPr>
          <w:rFonts w:cs="Arial"/>
          <w:b/>
          <w:color w:val="FF0000"/>
          <w:sz w:val="28"/>
          <w:szCs w:val="28"/>
        </w:rPr>
      </w:pPr>
    </w:p>
    <w:p w:rsidR="00701552" w:rsidRDefault="00701552" w:rsidP="00B8621B">
      <w:pPr>
        <w:pStyle w:val="ListParagraph"/>
        <w:numPr>
          <w:ilvl w:val="0"/>
          <w:numId w:val="38"/>
        </w:numPr>
        <w:rPr>
          <w:rFonts w:cs="Arial"/>
          <w:sz w:val="22"/>
        </w:rPr>
      </w:pPr>
      <w:r>
        <w:rPr>
          <w:rFonts w:cs="Arial"/>
          <w:sz w:val="22"/>
        </w:rPr>
        <w:t>Purpose of Paper</w:t>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t>3</w:t>
      </w:r>
    </w:p>
    <w:p w:rsidR="00701552" w:rsidRDefault="00701552" w:rsidP="00701552">
      <w:pPr>
        <w:pStyle w:val="ListParagraph"/>
        <w:rPr>
          <w:rFonts w:cs="Arial"/>
          <w:sz w:val="22"/>
        </w:rPr>
      </w:pPr>
    </w:p>
    <w:p w:rsidR="00701552" w:rsidRDefault="00701552" w:rsidP="00B8621B">
      <w:pPr>
        <w:pStyle w:val="ListParagraph"/>
        <w:numPr>
          <w:ilvl w:val="0"/>
          <w:numId w:val="38"/>
        </w:numPr>
        <w:rPr>
          <w:rFonts w:cs="Arial"/>
          <w:sz w:val="22"/>
        </w:rPr>
      </w:pPr>
      <w:r>
        <w:rPr>
          <w:rFonts w:cs="Arial"/>
          <w:sz w:val="22"/>
        </w:rPr>
        <w:t>Background</w:t>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t>3</w:t>
      </w:r>
    </w:p>
    <w:p w:rsidR="00701552" w:rsidRDefault="00701552" w:rsidP="00701552">
      <w:pPr>
        <w:pStyle w:val="ListParagraph"/>
        <w:rPr>
          <w:rFonts w:cs="Arial"/>
          <w:sz w:val="22"/>
        </w:rPr>
      </w:pPr>
    </w:p>
    <w:p w:rsidR="00701552" w:rsidRDefault="00701552" w:rsidP="00B8621B">
      <w:pPr>
        <w:pStyle w:val="ListParagraph"/>
        <w:numPr>
          <w:ilvl w:val="0"/>
          <w:numId w:val="38"/>
        </w:numPr>
        <w:rPr>
          <w:rFonts w:cs="Arial"/>
          <w:sz w:val="22"/>
        </w:rPr>
      </w:pPr>
      <w:r>
        <w:rPr>
          <w:rFonts w:cs="Arial"/>
          <w:sz w:val="22"/>
        </w:rPr>
        <w:t>Current Service Description</w:t>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t>4</w:t>
      </w:r>
    </w:p>
    <w:p w:rsidR="00701552" w:rsidRDefault="00701552" w:rsidP="00701552">
      <w:pPr>
        <w:rPr>
          <w:rFonts w:cs="Arial"/>
          <w:sz w:val="22"/>
        </w:rPr>
      </w:pP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p>
    <w:p w:rsidR="00701552" w:rsidRDefault="00701552" w:rsidP="00B8621B">
      <w:pPr>
        <w:pStyle w:val="ListParagraph"/>
        <w:numPr>
          <w:ilvl w:val="0"/>
          <w:numId w:val="38"/>
        </w:numPr>
        <w:rPr>
          <w:rFonts w:cs="Arial"/>
          <w:sz w:val="22"/>
        </w:rPr>
      </w:pPr>
      <w:r>
        <w:rPr>
          <w:rFonts w:cs="Arial"/>
          <w:sz w:val="22"/>
        </w:rPr>
        <w:t>Case for Change</w:t>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t>4</w:t>
      </w:r>
    </w:p>
    <w:p w:rsidR="00701552" w:rsidRDefault="00701552" w:rsidP="00701552">
      <w:pPr>
        <w:pStyle w:val="ListParagraph"/>
        <w:rPr>
          <w:rFonts w:cs="Arial"/>
          <w:sz w:val="22"/>
        </w:rPr>
      </w:pPr>
    </w:p>
    <w:p w:rsidR="00701552" w:rsidRDefault="00701552" w:rsidP="00B8621B">
      <w:pPr>
        <w:pStyle w:val="ListParagraph"/>
        <w:numPr>
          <w:ilvl w:val="0"/>
          <w:numId w:val="38"/>
        </w:numPr>
        <w:rPr>
          <w:rFonts w:cs="Arial"/>
          <w:sz w:val="22"/>
        </w:rPr>
      </w:pPr>
      <w:r>
        <w:rPr>
          <w:rFonts w:cs="Arial"/>
          <w:sz w:val="22"/>
        </w:rPr>
        <w:t>Outline of Proposal</w:t>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t>5</w:t>
      </w:r>
    </w:p>
    <w:p w:rsidR="00701552" w:rsidRDefault="00701552" w:rsidP="00701552">
      <w:pPr>
        <w:pStyle w:val="ListParagraph"/>
        <w:rPr>
          <w:rFonts w:cs="Arial"/>
          <w:sz w:val="22"/>
        </w:rPr>
      </w:pPr>
    </w:p>
    <w:p w:rsidR="00701552" w:rsidRDefault="00701552" w:rsidP="00B8621B">
      <w:pPr>
        <w:pStyle w:val="ListParagraph"/>
        <w:numPr>
          <w:ilvl w:val="0"/>
          <w:numId w:val="38"/>
        </w:numPr>
        <w:rPr>
          <w:rFonts w:cs="Arial"/>
          <w:sz w:val="22"/>
        </w:rPr>
      </w:pPr>
      <w:r>
        <w:rPr>
          <w:rFonts w:cs="Arial"/>
          <w:sz w:val="22"/>
        </w:rPr>
        <w:t>Key Assumptions and Dependencies</w:t>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t>8</w:t>
      </w:r>
    </w:p>
    <w:p w:rsidR="00701552" w:rsidRDefault="00701552" w:rsidP="00701552">
      <w:pPr>
        <w:pStyle w:val="ListParagraph"/>
        <w:rPr>
          <w:rFonts w:cs="Arial"/>
          <w:sz w:val="22"/>
        </w:rPr>
      </w:pPr>
    </w:p>
    <w:p w:rsidR="00701552" w:rsidRDefault="00701552" w:rsidP="00B8621B">
      <w:pPr>
        <w:pStyle w:val="ListParagraph"/>
        <w:numPr>
          <w:ilvl w:val="0"/>
          <w:numId w:val="38"/>
        </w:numPr>
        <w:rPr>
          <w:rFonts w:cs="Arial"/>
          <w:sz w:val="22"/>
        </w:rPr>
      </w:pPr>
      <w:r>
        <w:rPr>
          <w:rFonts w:cs="Arial"/>
          <w:sz w:val="22"/>
        </w:rPr>
        <w:t>Financial/Resource Requirements</w:t>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t>9</w:t>
      </w:r>
    </w:p>
    <w:p w:rsidR="00701552" w:rsidRDefault="00701552" w:rsidP="00701552">
      <w:pPr>
        <w:pStyle w:val="ListParagraph"/>
        <w:rPr>
          <w:rFonts w:cs="Arial"/>
          <w:sz w:val="22"/>
        </w:rPr>
      </w:pPr>
    </w:p>
    <w:p w:rsidR="00701552" w:rsidRDefault="00701552" w:rsidP="00B8621B">
      <w:pPr>
        <w:pStyle w:val="ListParagraph"/>
        <w:numPr>
          <w:ilvl w:val="0"/>
          <w:numId w:val="38"/>
        </w:numPr>
        <w:rPr>
          <w:rFonts w:cs="Arial"/>
          <w:sz w:val="22"/>
        </w:rPr>
      </w:pPr>
      <w:r>
        <w:rPr>
          <w:rFonts w:cs="Arial"/>
          <w:sz w:val="22"/>
        </w:rPr>
        <w:t>Summary &amp; Recommendations</w:t>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r>
      <w:r>
        <w:rPr>
          <w:rFonts w:cs="Arial"/>
          <w:sz w:val="22"/>
        </w:rPr>
        <w:tab/>
        <w:t>11</w:t>
      </w:r>
    </w:p>
    <w:p w:rsidR="00701552" w:rsidRDefault="00701552" w:rsidP="00701552">
      <w:pPr>
        <w:pStyle w:val="ListParagraph"/>
        <w:rPr>
          <w:rFonts w:cs="Arial"/>
          <w:sz w:val="22"/>
        </w:rPr>
      </w:pPr>
    </w:p>
    <w:p w:rsidR="00701552" w:rsidRDefault="00701552" w:rsidP="00701552">
      <w:pPr>
        <w:spacing w:after="200" w:line="276" w:lineRule="auto"/>
        <w:outlineLvl w:val="0"/>
        <w:rPr>
          <w:rFonts w:cs="Arial"/>
          <w:b/>
          <w:color w:val="005EB8"/>
          <w:sz w:val="32"/>
          <w:szCs w:val="24"/>
        </w:rPr>
      </w:pPr>
    </w:p>
    <w:p w:rsidR="00701552" w:rsidRDefault="00701552" w:rsidP="00701552">
      <w:pPr>
        <w:spacing w:after="200" w:line="276" w:lineRule="auto"/>
        <w:ind w:left="360"/>
        <w:outlineLvl w:val="0"/>
        <w:rPr>
          <w:rFonts w:cs="Arial"/>
          <w:b/>
          <w:color w:val="005EB8"/>
          <w:sz w:val="32"/>
        </w:rPr>
      </w:pPr>
    </w:p>
    <w:p w:rsidR="00701552" w:rsidRDefault="00701552" w:rsidP="00701552">
      <w:pPr>
        <w:spacing w:after="200" w:line="276" w:lineRule="auto"/>
        <w:ind w:left="360"/>
        <w:outlineLvl w:val="0"/>
        <w:rPr>
          <w:rFonts w:cs="Arial"/>
          <w:b/>
          <w:color w:val="005EB8"/>
          <w:sz w:val="32"/>
        </w:rPr>
      </w:pPr>
    </w:p>
    <w:p w:rsidR="00701552" w:rsidRDefault="00701552" w:rsidP="00701552">
      <w:pPr>
        <w:spacing w:after="200" w:line="276" w:lineRule="auto"/>
        <w:rPr>
          <w:rFonts w:cs="Arial"/>
          <w:b/>
          <w:color w:val="005EB8"/>
          <w:sz w:val="32"/>
        </w:rPr>
      </w:pPr>
    </w:p>
    <w:p w:rsidR="00701552" w:rsidRDefault="00701552" w:rsidP="00701552">
      <w:pPr>
        <w:spacing w:after="200" w:line="276" w:lineRule="auto"/>
        <w:rPr>
          <w:rFonts w:cs="Arial"/>
          <w:b/>
          <w:color w:val="005EB8"/>
          <w:sz w:val="32"/>
        </w:rPr>
      </w:pPr>
    </w:p>
    <w:p w:rsidR="00701552" w:rsidRDefault="00701552" w:rsidP="00701552">
      <w:pPr>
        <w:spacing w:after="200" w:line="276" w:lineRule="auto"/>
        <w:rPr>
          <w:rFonts w:cs="Arial"/>
          <w:b/>
          <w:color w:val="005EB8"/>
          <w:sz w:val="32"/>
        </w:rPr>
      </w:pPr>
    </w:p>
    <w:p w:rsidR="00701552" w:rsidRDefault="00701552" w:rsidP="00701552">
      <w:pPr>
        <w:spacing w:after="200" w:line="276" w:lineRule="auto"/>
        <w:rPr>
          <w:rFonts w:cs="Arial"/>
          <w:b/>
          <w:color w:val="005EB8"/>
          <w:sz w:val="32"/>
        </w:rPr>
      </w:pPr>
    </w:p>
    <w:p w:rsidR="00701552" w:rsidRDefault="00701552" w:rsidP="00701552">
      <w:pPr>
        <w:spacing w:after="200" w:line="276" w:lineRule="auto"/>
        <w:rPr>
          <w:rFonts w:cs="Arial"/>
          <w:b/>
          <w:color w:val="005EB8"/>
          <w:sz w:val="32"/>
        </w:rPr>
      </w:pPr>
    </w:p>
    <w:p w:rsidR="00701552" w:rsidRDefault="00701552" w:rsidP="00701552">
      <w:pPr>
        <w:spacing w:after="200" w:line="276" w:lineRule="auto"/>
        <w:rPr>
          <w:rFonts w:cs="Arial"/>
          <w:b/>
          <w:color w:val="005EB8"/>
          <w:sz w:val="32"/>
        </w:rPr>
      </w:pPr>
    </w:p>
    <w:p w:rsidR="00701552" w:rsidRDefault="00701552" w:rsidP="00701552">
      <w:pPr>
        <w:spacing w:after="200" w:line="276" w:lineRule="auto"/>
        <w:rPr>
          <w:rFonts w:cs="Arial"/>
          <w:b/>
          <w:color w:val="005EB8"/>
          <w:sz w:val="32"/>
        </w:rPr>
      </w:pPr>
    </w:p>
    <w:p w:rsidR="00701552" w:rsidRDefault="00701552" w:rsidP="00701552">
      <w:pPr>
        <w:spacing w:after="200" w:line="276" w:lineRule="auto"/>
        <w:rPr>
          <w:rFonts w:cs="Arial"/>
          <w:b/>
          <w:color w:val="005EB8"/>
          <w:sz w:val="32"/>
        </w:rPr>
      </w:pPr>
    </w:p>
    <w:p w:rsidR="00701552" w:rsidRDefault="00701552" w:rsidP="00701552">
      <w:pPr>
        <w:spacing w:after="200" w:line="276" w:lineRule="auto"/>
        <w:rPr>
          <w:rFonts w:cs="Arial"/>
          <w:b/>
          <w:color w:val="005EB8"/>
          <w:sz w:val="32"/>
        </w:rPr>
      </w:pPr>
    </w:p>
    <w:p w:rsidR="00701552" w:rsidRDefault="00701552" w:rsidP="00701552">
      <w:pPr>
        <w:spacing w:after="200" w:line="276" w:lineRule="auto"/>
        <w:rPr>
          <w:rFonts w:cs="Arial"/>
          <w:b/>
          <w:color w:val="005EB8"/>
          <w:sz w:val="32"/>
        </w:rPr>
      </w:pPr>
    </w:p>
    <w:p w:rsidR="00701552" w:rsidRDefault="00701552" w:rsidP="00701552">
      <w:pPr>
        <w:spacing w:after="200" w:line="276" w:lineRule="auto"/>
        <w:rPr>
          <w:rFonts w:cs="Arial"/>
          <w:b/>
          <w:color w:val="005EB8"/>
          <w:sz w:val="32"/>
        </w:rPr>
      </w:pPr>
    </w:p>
    <w:p w:rsidR="00701552" w:rsidRDefault="00701552" w:rsidP="00B8621B">
      <w:pPr>
        <w:numPr>
          <w:ilvl w:val="0"/>
          <w:numId w:val="39"/>
        </w:numPr>
        <w:spacing w:after="200" w:line="276" w:lineRule="auto"/>
        <w:outlineLvl w:val="0"/>
        <w:rPr>
          <w:rFonts w:cs="Arial"/>
          <w:b/>
          <w:color w:val="005EB8"/>
          <w:sz w:val="32"/>
        </w:rPr>
      </w:pPr>
      <w:bookmarkStart w:id="85" w:name="_Toc98324685"/>
      <w:bookmarkStart w:id="86" w:name="_Toc99880950"/>
      <w:bookmarkStart w:id="87" w:name="_Toc100070281"/>
      <w:bookmarkStart w:id="88" w:name="_Toc100307207"/>
      <w:bookmarkStart w:id="89" w:name="_Toc100307355"/>
      <w:bookmarkStart w:id="90" w:name="_Toc100318561"/>
      <w:bookmarkStart w:id="91" w:name="_Toc100320569"/>
      <w:bookmarkStart w:id="92" w:name="_Toc100341051"/>
      <w:bookmarkStart w:id="93" w:name="_Toc100569467"/>
      <w:bookmarkStart w:id="94" w:name="_Toc105493506"/>
      <w:bookmarkStart w:id="95" w:name="_Toc105665231"/>
      <w:r>
        <w:rPr>
          <w:rFonts w:cs="Arial"/>
          <w:b/>
          <w:color w:val="005EB8"/>
          <w:sz w:val="32"/>
        </w:rPr>
        <w:t>Purpose of the Paper</w:t>
      </w:r>
      <w:bookmarkEnd w:id="85"/>
      <w:bookmarkEnd w:id="86"/>
      <w:bookmarkEnd w:id="87"/>
      <w:bookmarkEnd w:id="88"/>
      <w:bookmarkEnd w:id="89"/>
      <w:bookmarkEnd w:id="90"/>
      <w:bookmarkEnd w:id="91"/>
      <w:bookmarkEnd w:id="92"/>
      <w:bookmarkEnd w:id="93"/>
      <w:bookmarkEnd w:id="94"/>
      <w:bookmarkEnd w:id="95"/>
      <w:r>
        <w:rPr>
          <w:rFonts w:cs="Arial"/>
          <w:b/>
          <w:color w:val="005EB8"/>
          <w:sz w:val="32"/>
        </w:rPr>
        <w:t xml:space="preserve"> </w:t>
      </w:r>
      <w:bookmarkStart w:id="96" w:name="_Toc494718776"/>
      <w:bookmarkEnd w:id="73"/>
    </w:p>
    <w:p w:rsidR="00701552" w:rsidRDefault="00701552" w:rsidP="00701552">
      <w:pPr>
        <w:spacing w:after="200" w:line="276" w:lineRule="auto"/>
        <w:jc w:val="both"/>
        <w:outlineLvl w:val="0"/>
        <w:rPr>
          <w:rFonts w:cs="Arial"/>
          <w:sz w:val="22"/>
        </w:rPr>
      </w:pPr>
      <w:bookmarkStart w:id="97" w:name="_Toc98324686"/>
      <w:bookmarkStart w:id="98" w:name="_Toc99880951"/>
      <w:bookmarkStart w:id="99" w:name="_Toc100070282"/>
      <w:bookmarkStart w:id="100" w:name="_Toc100307208"/>
      <w:bookmarkStart w:id="101" w:name="_Toc100307356"/>
      <w:bookmarkStart w:id="102" w:name="_Toc100318562"/>
      <w:bookmarkStart w:id="103" w:name="_Toc100320570"/>
      <w:bookmarkStart w:id="104" w:name="_Toc100341052"/>
      <w:bookmarkStart w:id="105" w:name="_Toc100569468"/>
      <w:bookmarkStart w:id="106" w:name="_Toc105493507"/>
      <w:bookmarkStart w:id="107" w:name="_Toc105665232"/>
      <w:r>
        <w:rPr>
          <w:rFonts w:cs="Arial"/>
          <w:sz w:val="22"/>
        </w:rPr>
        <w:t>The purpose of this paper is work up of three possible Diagnostic Pathology Solutions for the Pilgrim Hospital Urgent Care Project.</w:t>
      </w:r>
      <w:bookmarkEnd w:id="97"/>
      <w:bookmarkEnd w:id="98"/>
      <w:bookmarkEnd w:id="99"/>
      <w:bookmarkEnd w:id="100"/>
      <w:bookmarkEnd w:id="101"/>
      <w:bookmarkEnd w:id="102"/>
      <w:bookmarkEnd w:id="103"/>
      <w:bookmarkEnd w:id="104"/>
      <w:bookmarkEnd w:id="105"/>
      <w:bookmarkEnd w:id="106"/>
      <w:bookmarkEnd w:id="107"/>
      <w:r>
        <w:rPr>
          <w:rFonts w:cs="Arial"/>
          <w:sz w:val="22"/>
        </w:rPr>
        <w:t xml:space="preserve">  </w:t>
      </w:r>
    </w:p>
    <w:p w:rsidR="00701552" w:rsidRDefault="00701552" w:rsidP="00B8621B">
      <w:pPr>
        <w:numPr>
          <w:ilvl w:val="0"/>
          <w:numId w:val="39"/>
        </w:numPr>
        <w:spacing w:after="200" w:line="276" w:lineRule="auto"/>
        <w:outlineLvl w:val="0"/>
        <w:rPr>
          <w:rFonts w:cs="Arial"/>
          <w:b/>
          <w:color w:val="005EB8"/>
          <w:sz w:val="32"/>
          <w:szCs w:val="24"/>
        </w:rPr>
      </w:pPr>
      <w:bookmarkStart w:id="108" w:name="_Toc98324687"/>
      <w:bookmarkStart w:id="109" w:name="_Toc99880952"/>
      <w:bookmarkStart w:id="110" w:name="_Toc100070283"/>
      <w:bookmarkStart w:id="111" w:name="_Toc100307209"/>
      <w:bookmarkStart w:id="112" w:name="_Toc100307357"/>
      <w:bookmarkStart w:id="113" w:name="_Toc100318563"/>
      <w:bookmarkStart w:id="114" w:name="_Toc100320571"/>
      <w:bookmarkStart w:id="115" w:name="_Toc100341053"/>
      <w:bookmarkStart w:id="116" w:name="_Toc100569469"/>
      <w:bookmarkStart w:id="117" w:name="_Toc105493508"/>
      <w:bookmarkStart w:id="118" w:name="_Toc105665233"/>
      <w:r>
        <w:rPr>
          <w:rFonts w:cs="Arial"/>
          <w:b/>
          <w:color w:val="005EB8"/>
          <w:sz w:val="32"/>
        </w:rPr>
        <w:t>Background</w:t>
      </w:r>
      <w:bookmarkEnd w:id="108"/>
      <w:bookmarkEnd w:id="109"/>
      <w:bookmarkEnd w:id="110"/>
      <w:bookmarkEnd w:id="111"/>
      <w:bookmarkEnd w:id="112"/>
      <w:bookmarkEnd w:id="113"/>
      <w:bookmarkEnd w:id="114"/>
      <w:bookmarkEnd w:id="115"/>
      <w:bookmarkEnd w:id="116"/>
      <w:bookmarkEnd w:id="117"/>
      <w:bookmarkEnd w:id="118"/>
    </w:p>
    <w:p w:rsidR="00701552" w:rsidRDefault="00701552" w:rsidP="00701552">
      <w:pPr>
        <w:pStyle w:val="ListParagraph"/>
        <w:ind w:left="360"/>
        <w:rPr>
          <w:rFonts w:cs="Arial"/>
          <w:sz w:val="22"/>
        </w:rPr>
      </w:pPr>
    </w:p>
    <w:p w:rsidR="00701552" w:rsidRDefault="00701552" w:rsidP="00B8621B">
      <w:pPr>
        <w:pStyle w:val="ListParagraph"/>
        <w:numPr>
          <w:ilvl w:val="2"/>
          <w:numId w:val="40"/>
        </w:numPr>
        <w:ind w:left="1349" w:hanging="720"/>
        <w:jc w:val="both"/>
        <w:rPr>
          <w:rFonts w:cs="Arial"/>
          <w:bCs/>
          <w:sz w:val="22"/>
        </w:rPr>
      </w:pPr>
      <w:r>
        <w:rPr>
          <w:rFonts w:cs="Arial"/>
          <w:bCs/>
          <w:sz w:val="22"/>
        </w:rPr>
        <w:t>Provision of diagnostics room within the proposed development of the Pilgrim ED and Urgent Treatment Centre.  Funding announced for 20 health organisations to receive a share of £850M by the Prime Minister on 5</w:t>
      </w:r>
      <w:r>
        <w:rPr>
          <w:rFonts w:cs="Arial"/>
          <w:bCs/>
          <w:sz w:val="22"/>
          <w:vertAlign w:val="superscript"/>
        </w:rPr>
        <w:t>th</w:t>
      </w:r>
      <w:r>
        <w:rPr>
          <w:rFonts w:cs="Arial"/>
          <w:bCs/>
          <w:sz w:val="22"/>
        </w:rPr>
        <w:t xml:space="preserve"> August 2019, work for this project costed at £21.3M. </w:t>
      </w:r>
    </w:p>
    <w:p w:rsidR="00701552" w:rsidRDefault="00701552" w:rsidP="00B8621B">
      <w:pPr>
        <w:pStyle w:val="ListParagraph"/>
        <w:numPr>
          <w:ilvl w:val="2"/>
          <w:numId w:val="40"/>
        </w:numPr>
        <w:spacing w:before="240"/>
        <w:ind w:left="1349" w:hanging="720"/>
        <w:jc w:val="both"/>
        <w:rPr>
          <w:rFonts w:cs="Arial"/>
          <w:bCs/>
          <w:sz w:val="22"/>
        </w:rPr>
      </w:pPr>
      <w:r>
        <w:rPr>
          <w:rFonts w:cs="Arial"/>
          <w:bCs/>
          <w:sz w:val="22"/>
        </w:rPr>
        <w:t xml:space="preserve">ED staff use multiple requesting pathways, primary </w:t>
      </w:r>
      <w:proofErr w:type="spellStart"/>
      <w:r>
        <w:rPr>
          <w:rFonts w:cs="Arial"/>
          <w:bCs/>
          <w:sz w:val="22"/>
        </w:rPr>
        <w:t>WebV</w:t>
      </w:r>
      <w:proofErr w:type="spellEnd"/>
      <w:r>
        <w:rPr>
          <w:rFonts w:cs="Arial"/>
          <w:bCs/>
          <w:sz w:val="22"/>
        </w:rPr>
        <w:t xml:space="preserve"> system for requesting diagnostic test within Blood Sciences and Microbiology and secondary handwritten requests for Transfusion.  </w:t>
      </w:r>
      <w:proofErr w:type="spellStart"/>
      <w:r>
        <w:rPr>
          <w:rFonts w:cs="Arial"/>
          <w:bCs/>
          <w:sz w:val="22"/>
        </w:rPr>
        <w:t>Ttese</w:t>
      </w:r>
      <w:proofErr w:type="spellEnd"/>
      <w:r>
        <w:rPr>
          <w:rFonts w:cs="Arial"/>
          <w:bCs/>
          <w:sz w:val="22"/>
        </w:rPr>
        <w:t xml:space="preserve"> are reported electronically and available via </w:t>
      </w:r>
      <w:proofErr w:type="spellStart"/>
      <w:r>
        <w:rPr>
          <w:rFonts w:cs="Arial"/>
          <w:bCs/>
          <w:sz w:val="22"/>
        </w:rPr>
        <w:t>WebV</w:t>
      </w:r>
      <w:proofErr w:type="spellEnd"/>
      <w:r>
        <w:rPr>
          <w:rFonts w:cs="Arial"/>
          <w:bCs/>
          <w:sz w:val="22"/>
        </w:rPr>
        <w:t xml:space="preserve"> to the requestor.  POCT completed in ED is recorded in the patients notes, Glucose results upload to UPOC. </w:t>
      </w:r>
    </w:p>
    <w:p w:rsidR="00701552" w:rsidRDefault="00701552" w:rsidP="00B8621B">
      <w:pPr>
        <w:pStyle w:val="ListParagraph"/>
        <w:numPr>
          <w:ilvl w:val="2"/>
          <w:numId w:val="40"/>
        </w:numPr>
        <w:spacing w:before="240"/>
        <w:ind w:left="1349" w:hanging="720"/>
        <w:jc w:val="both"/>
        <w:rPr>
          <w:rFonts w:cs="Arial"/>
          <w:bCs/>
          <w:sz w:val="22"/>
        </w:rPr>
      </w:pPr>
      <w:r>
        <w:rPr>
          <w:rFonts w:cs="Arial"/>
          <w:bCs/>
          <w:sz w:val="22"/>
        </w:rPr>
        <w:t xml:space="preserve">LCHS currently do not have access to </w:t>
      </w:r>
      <w:proofErr w:type="spellStart"/>
      <w:r>
        <w:rPr>
          <w:rFonts w:cs="Arial"/>
          <w:bCs/>
          <w:sz w:val="22"/>
        </w:rPr>
        <w:t>WebV</w:t>
      </w:r>
      <w:proofErr w:type="spellEnd"/>
      <w:r>
        <w:rPr>
          <w:rFonts w:cs="Arial"/>
          <w:bCs/>
          <w:sz w:val="22"/>
        </w:rPr>
        <w:t>.</w:t>
      </w:r>
    </w:p>
    <w:p w:rsidR="00701552" w:rsidRDefault="00701552" w:rsidP="00B8621B">
      <w:pPr>
        <w:pStyle w:val="ListParagraph"/>
        <w:numPr>
          <w:ilvl w:val="2"/>
          <w:numId w:val="40"/>
        </w:numPr>
        <w:spacing w:before="240"/>
        <w:ind w:left="1349" w:hanging="720"/>
        <w:jc w:val="both"/>
        <w:rPr>
          <w:rFonts w:cs="Arial"/>
          <w:bCs/>
          <w:sz w:val="22"/>
        </w:rPr>
      </w:pPr>
      <w:r>
        <w:rPr>
          <w:rFonts w:cs="Arial"/>
          <w:bCs/>
          <w:sz w:val="22"/>
        </w:rPr>
        <w:t>High rejection rate around samples received from Pilgrim ED currently, data for Sept 2018-2019 showed 14.9% of samples received by the laboratory during the year were reported as unsuitable and required repeating.  Total number 5917/39690 samples reported as unsuitable across blood sciences.</w:t>
      </w:r>
    </w:p>
    <w:p w:rsidR="00701552" w:rsidRDefault="00701552" w:rsidP="00B8621B">
      <w:pPr>
        <w:pStyle w:val="ListParagraph"/>
        <w:numPr>
          <w:ilvl w:val="2"/>
          <w:numId w:val="40"/>
        </w:numPr>
        <w:spacing w:before="240"/>
        <w:ind w:left="1349" w:hanging="720"/>
        <w:jc w:val="both"/>
        <w:rPr>
          <w:rFonts w:cs="Arial"/>
          <w:bCs/>
          <w:sz w:val="22"/>
        </w:rPr>
      </w:pPr>
      <w:r>
        <w:rPr>
          <w:rFonts w:cs="Arial"/>
          <w:bCs/>
          <w:sz w:val="22"/>
        </w:rPr>
        <w:t xml:space="preserve">Poor compliance for Blood Glucose POCT device EQA returns within Pilgrim ED, resulted in removal of half of the devices during 2019 whilst staff were retrained.  Devices returned once training reached 70%. </w:t>
      </w:r>
    </w:p>
    <w:p w:rsidR="00701552" w:rsidRDefault="00701552" w:rsidP="00B8621B">
      <w:pPr>
        <w:pStyle w:val="ListParagraph"/>
        <w:numPr>
          <w:ilvl w:val="2"/>
          <w:numId w:val="40"/>
        </w:numPr>
        <w:spacing w:before="240"/>
        <w:ind w:left="1349" w:hanging="720"/>
        <w:jc w:val="both"/>
        <w:rPr>
          <w:rFonts w:cs="Arial"/>
          <w:bCs/>
          <w:sz w:val="22"/>
        </w:rPr>
      </w:pPr>
      <w:r>
        <w:rPr>
          <w:rFonts w:cs="Arial"/>
          <w:bCs/>
          <w:sz w:val="22"/>
        </w:rPr>
        <w:t>Staff provision and time const</w:t>
      </w:r>
      <w:r w:rsidR="00EB01E2">
        <w:rPr>
          <w:rFonts w:cs="Arial"/>
          <w:bCs/>
          <w:sz w:val="22"/>
        </w:rPr>
        <w:t>r</w:t>
      </w:r>
      <w:r>
        <w:rPr>
          <w:rFonts w:cs="Arial"/>
          <w:bCs/>
          <w:sz w:val="22"/>
        </w:rPr>
        <w:t>aints on ED staff for POCT, over the last 6 months ED has averaged 2677 blood gases a month.</w:t>
      </w:r>
    </w:p>
    <w:p w:rsidR="00701552" w:rsidRDefault="00701552" w:rsidP="00B8621B">
      <w:pPr>
        <w:pStyle w:val="ListParagraph"/>
        <w:numPr>
          <w:ilvl w:val="2"/>
          <w:numId w:val="40"/>
        </w:numPr>
        <w:spacing w:before="240"/>
        <w:ind w:left="1349" w:hanging="720"/>
        <w:jc w:val="both"/>
        <w:rPr>
          <w:rFonts w:cs="Arial"/>
          <w:bCs/>
          <w:sz w:val="22"/>
        </w:rPr>
      </w:pPr>
      <w:r>
        <w:rPr>
          <w:rFonts w:cs="Arial"/>
          <w:bCs/>
          <w:sz w:val="22"/>
        </w:rPr>
        <w:t>Staff provision and time const</w:t>
      </w:r>
      <w:r w:rsidR="00EB01E2">
        <w:rPr>
          <w:rFonts w:cs="Arial"/>
          <w:bCs/>
          <w:sz w:val="22"/>
        </w:rPr>
        <w:t>r</w:t>
      </w:r>
      <w:r>
        <w:rPr>
          <w:rFonts w:cs="Arial"/>
          <w:bCs/>
          <w:sz w:val="22"/>
        </w:rPr>
        <w:t>aints on ED staff for Phlebotomy, leads to errors reported as unsuitable by Pathology based around sample quality, labelling failures, missed samples, and patient identity in doubt rejections.</w:t>
      </w:r>
    </w:p>
    <w:p w:rsidR="00701552" w:rsidRDefault="00701552" w:rsidP="00B8621B">
      <w:pPr>
        <w:pStyle w:val="ListParagraph"/>
        <w:numPr>
          <w:ilvl w:val="2"/>
          <w:numId w:val="40"/>
        </w:numPr>
        <w:spacing w:before="240"/>
        <w:ind w:left="1349" w:hanging="720"/>
        <w:jc w:val="both"/>
        <w:rPr>
          <w:rFonts w:cs="Arial"/>
          <w:bCs/>
          <w:sz w:val="22"/>
        </w:rPr>
      </w:pPr>
      <w:r>
        <w:rPr>
          <w:rFonts w:cs="Arial"/>
          <w:bCs/>
          <w:sz w:val="22"/>
        </w:rPr>
        <w:t xml:space="preserve">ULH </w:t>
      </w:r>
      <w:proofErr w:type="gramStart"/>
      <w:r>
        <w:rPr>
          <w:rFonts w:cs="Arial"/>
          <w:bCs/>
          <w:sz w:val="22"/>
        </w:rPr>
        <w:t>ED  levels</w:t>
      </w:r>
      <w:proofErr w:type="gramEnd"/>
      <w:r>
        <w:rPr>
          <w:rFonts w:cs="Arial"/>
          <w:bCs/>
          <w:sz w:val="22"/>
        </w:rPr>
        <w:t xml:space="preserve"> of test requesting high against national figures. Demand Management solution in Version 3 of </w:t>
      </w:r>
      <w:proofErr w:type="spellStart"/>
      <w:r>
        <w:rPr>
          <w:rFonts w:cs="Arial"/>
          <w:bCs/>
          <w:sz w:val="22"/>
        </w:rPr>
        <w:t>WebV</w:t>
      </w:r>
      <w:proofErr w:type="spellEnd"/>
      <w:r>
        <w:rPr>
          <w:rFonts w:cs="Arial"/>
          <w:bCs/>
          <w:sz w:val="22"/>
        </w:rPr>
        <w:t xml:space="preserve"> due 2020.</w:t>
      </w:r>
    </w:p>
    <w:p w:rsidR="00701552" w:rsidRDefault="00701552" w:rsidP="00B8621B">
      <w:pPr>
        <w:pStyle w:val="ListParagraph"/>
        <w:numPr>
          <w:ilvl w:val="2"/>
          <w:numId w:val="40"/>
        </w:numPr>
        <w:spacing w:before="240"/>
        <w:ind w:left="1349" w:hanging="720"/>
        <w:jc w:val="both"/>
        <w:rPr>
          <w:rFonts w:cs="Arial"/>
          <w:bCs/>
          <w:sz w:val="22"/>
        </w:rPr>
      </w:pPr>
      <w:r>
        <w:rPr>
          <w:rFonts w:cs="Arial"/>
          <w:bCs/>
          <w:sz w:val="22"/>
        </w:rPr>
        <w:t xml:space="preserve">ULH ED levels of </w:t>
      </w:r>
      <w:proofErr w:type="gramStart"/>
      <w:r w:rsidR="00EB01E2">
        <w:rPr>
          <w:rFonts w:cs="Arial"/>
          <w:bCs/>
          <w:sz w:val="22"/>
        </w:rPr>
        <w:t>cannulation</w:t>
      </w:r>
      <w:r>
        <w:rPr>
          <w:rFonts w:cs="Arial"/>
          <w:bCs/>
          <w:sz w:val="22"/>
        </w:rPr>
        <w:t xml:space="preserve"> ?</w:t>
      </w:r>
      <w:proofErr w:type="gramEnd"/>
      <w:r>
        <w:rPr>
          <w:rFonts w:cs="Arial"/>
          <w:bCs/>
          <w:sz w:val="22"/>
        </w:rPr>
        <w:t xml:space="preserve">  Feedback from ED </w:t>
      </w:r>
      <w:proofErr w:type="gramStart"/>
      <w:r>
        <w:rPr>
          <w:rFonts w:cs="Arial"/>
          <w:bCs/>
          <w:sz w:val="22"/>
        </w:rPr>
        <w:t>staff ?</w:t>
      </w:r>
      <w:proofErr w:type="gramEnd"/>
    </w:p>
    <w:p w:rsidR="00701552" w:rsidRDefault="00701552" w:rsidP="00B8621B">
      <w:pPr>
        <w:pStyle w:val="ListParagraph"/>
        <w:numPr>
          <w:ilvl w:val="2"/>
          <w:numId w:val="40"/>
        </w:numPr>
        <w:spacing w:before="240"/>
        <w:ind w:left="1349" w:hanging="720"/>
        <w:jc w:val="both"/>
        <w:rPr>
          <w:rFonts w:cs="Arial"/>
          <w:bCs/>
          <w:sz w:val="22"/>
        </w:rPr>
      </w:pPr>
      <w:r>
        <w:rPr>
          <w:rFonts w:cs="Arial"/>
          <w:bCs/>
          <w:sz w:val="22"/>
        </w:rPr>
        <w:t xml:space="preserve">Question the value of some POCT currently being completed, design pathways around the POCT adding value and affecting that </w:t>
      </w:r>
      <w:proofErr w:type="spellStart"/>
      <w:r>
        <w:rPr>
          <w:rFonts w:cs="Arial"/>
          <w:bCs/>
          <w:sz w:val="22"/>
        </w:rPr>
        <w:t>indivduals</w:t>
      </w:r>
      <w:proofErr w:type="spellEnd"/>
      <w:r>
        <w:rPr>
          <w:rFonts w:cs="Arial"/>
          <w:bCs/>
          <w:sz w:val="22"/>
        </w:rPr>
        <w:t xml:space="preserve"> pathway.</w:t>
      </w:r>
    </w:p>
    <w:p w:rsidR="00701552" w:rsidRDefault="00701552" w:rsidP="00B8621B">
      <w:pPr>
        <w:pStyle w:val="ListParagraph"/>
        <w:numPr>
          <w:ilvl w:val="2"/>
          <w:numId w:val="40"/>
        </w:numPr>
        <w:spacing w:before="240"/>
        <w:ind w:left="1349" w:hanging="720"/>
        <w:jc w:val="both"/>
        <w:rPr>
          <w:rFonts w:cs="Arial"/>
          <w:bCs/>
          <w:sz w:val="22"/>
        </w:rPr>
      </w:pPr>
      <w:r>
        <w:rPr>
          <w:rFonts w:cs="Arial"/>
          <w:sz w:val="22"/>
          <w:lang w:val="en-US"/>
        </w:rPr>
        <w:t xml:space="preserve">Health Education England (HEE) Conditions - Repetitive Tasks. </w:t>
      </w:r>
      <w:r>
        <w:rPr>
          <w:rFonts w:cs="Arial"/>
          <w:sz w:val="22"/>
        </w:rPr>
        <w:t xml:space="preserve">HEE condition around junior doctors undertaking repetitive tasks with little educational benefit has remained open for several years. This condition relates to junior doctors reporting they have an excessive burden of phlebotomy and POCT duties. Considered to be a “serious issue that has been impacting negatively on the quality of educational and training for several years </w:t>
      </w:r>
      <w:r>
        <w:rPr>
          <w:rFonts w:cs="Arial"/>
          <w:i/>
          <w:sz w:val="22"/>
        </w:rPr>
        <w:t>(2015)</w:t>
      </w:r>
      <w:r>
        <w:rPr>
          <w:rFonts w:cs="Arial"/>
          <w:sz w:val="22"/>
        </w:rPr>
        <w:t xml:space="preserve"> and remains largely unresolved”</w:t>
      </w:r>
    </w:p>
    <w:p w:rsidR="00701552" w:rsidRDefault="00701552" w:rsidP="00B8621B">
      <w:pPr>
        <w:pStyle w:val="ListParagraph"/>
        <w:numPr>
          <w:ilvl w:val="2"/>
          <w:numId w:val="40"/>
        </w:numPr>
        <w:spacing w:before="240"/>
        <w:ind w:left="1349" w:hanging="720"/>
        <w:jc w:val="both"/>
        <w:rPr>
          <w:rFonts w:cs="Arial"/>
          <w:bCs/>
          <w:sz w:val="22"/>
        </w:rPr>
      </w:pPr>
      <w:r>
        <w:rPr>
          <w:rFonts w:cs="Arial"/>
          <w:bCs/>
          <w:sz w:val="22"/>
        </w:rPr>
        <w:t xml:space="preserve">Phlebotomy and POCT included in core skills set for Band 5 nurse and HCSW staff, Recent junior doctor survey (September 2018) indicates nursing staff </w:t>
      </w:r>
      <w:r>
        <w:rPr>
          <w:rFonts w:cs="Arial"/>
          <w:bCs/>
          <w:sz w:val="22"/>
        </w:rPr>
        <w:lastRenderedPageBreak/>
        <w:t>frequently unable to undertake these duties due to a combinations of staff shortages, lack of training, not considered to be their role or too busy</w:t>
      </w:r>
    </w:p>
    <w:p w:rsidR="00701552" w:rsidRDefault="00701552" w:rsidP="00701552">
      <w:pPr>
        <w:rPr>
          <w:rFonts w:cs="Arial"/>
          <w:sz w:val="22"/>
        </w:rPr>
      </w:pPr>
    </w:p>
    <w:p w:rsidR="00701552" w:rsidRDefault="00701552" w:rsidP="00B8621B">
      <w:pPr>
        <w:pStyle w:val="ListParagraph"/>
        <w:numPr>
          <w:ilvl w:val="1"/>
          <w:numId w:val="41"/>
        </w:numPr>
        <w:rPr>
          <w:rFonts w:cs="Arial"/>
          <w:sz w:val="22"/>
        </w:rPr>
      </w:pPr>
      <w:r>
        <w:rPr>
          <w:rFonts w:cs="Arial"/>
          <w:sz w:val="22"/>
        </w:rPr>
        <w:t>Key Risks</w:t>
      </w:r>
    </w:p>
    <w:p w:rsidR="00701552" w:rsidRDefault="00701552" w:rsidP="00701552">
      <w:pPr>
        <w:pStyle w:val="ListParagraph"/>
        <w:ind w:left="360"/>
        <w:rPr>
          <w:rFonts w:cs="Arial"/>
          <w:sz w:val="22"/>
        </w:rPr>
      </w:pPr>
    </w:p>
    <w:bookmarkEnd w:id="96"/>
    <w:p w:rsidR="00701552" w:rsidRDefault="00701552" w:rsidP="00B8621B">
      <w:pPr>
        <w:pStyle w:val="ListParagraph"/>
        <w:numPr>
          <w:ilvl w:val="2"/>
          <w:numId w:val="42"/>
        </w:numPr>
        <w:ind w:left="1418" w:hanging="720"/>
        <w:jc w:val="both"/>
        <w:rPr>
          <w:rFonts w:eastAsia="Calibri" w:cs="Arial"/>
          <w:sz w:val="22"/>
        </w:rPr>
      </w:pPr>
      <w:r>
        <w:rPr>
          <w:rFonts w:eastAsia="Calibri" w:cs="Arial"/>
          <w:sz w:val="22"/>
        </w:rPr>
        <w:t>HEE requirement looks for Trusts to evidence a reduction in the burden around phlebotomy and cannulation. Failure can result in the condition being passed to the GMC for enhanced monitoring</w:t>
      </w:r>
    </w:p>
    <w:p w:rsidR="00701552" w:rsidRDefault="00701552" w:rsidP="00B8621B">
      <w:pPr>
        <w:pStyle w:val="ListParagraph"/>
        <w:numPr>
          <w:ilvl w:val="2"/>
          <w:numId w:val="42"/>
        </w:numPr>
        <w:spacing w:before="240"/>
        <w:ind w:left="1418" w:hanging="720"/>
        <w:jc w:val="both"/>
        <w:rPr>
          <w:rFonts w:eastAsia="Calibri" w:cs="Arial"/>
          <w:sz w:val="22"/>
        </w:rPr>
      </w:pPr>
      <w:r>
        <w:rPr>
          <w:rFonts w:eastAsia="Calibri" w:cs="Arial"/>
          <w:sz w:val="22"/>
        </w:rPr>
        <w:t>Without intervention, an increase in the volume of patients seen across the new development would lead to a worsening of the current situation negatively impacting on:</w:t>
      </w:r>
    </w:p>
    <w:p w:rsidR="00701552" w:rsidRDefault="00701552" w:rsidP="00B8621B">
      <w:pPr>
        <w:pStyle w:val="ListParagraph"/>
        <w:numPr>
          <w:ilvl w:val="0"/>
          <w:numId w:val="43"/>
        </w:numPr>
        <w:spacing w:before="180"/>
        <w:ind w:left="2137" w:hanging="357"/>
        <w:jc w:val="both"/>
        <w:rPr>
          <w:rFonts w:eastAsia="Calibri" w:cs="Arial"/>
          <w:sz w:val="22"/>
        </w:rPr>
      </w:pPr>
      <w:r>
        <w:rPr>
          <w:rFonts w:eastAsia="Calibri" w:cs="Arial"/>
          <w:sz w:val="22"/>
        </w:rPr>
        <w:t>Timeliness of the diagnostic/patient monitoring pathway</w:t>
      </w:r>
    </w:p>
    <w:p w:rsidR="00701552" w:rsidRDefault="00701552" w:rsidP="00B8621B">
      <w:pPr>
        <w:pStyle w:val="ListParagraph"/>
        <w:numPr>
          <w:ilvl w:val="0"/>
          <w:numId w:val="43"/>
        </w:numPr>
        <w:spacing w:before="180"/>
        <w:ind w:left="2137" w:hanging="357"/>
        <w:jc w:val="both"/>
        <w:rPr>
          <w:rFonts w:eastAsia="Calibri" w:cs="Arial"/>
          <w:sz w:val="22"/>
        </w:rPr>
      </w:pPr>
      <w:r>
        <w:rPr>
          <w:rFonts w:eastAsia="Calibri" w:cs="Arial"/>
          <w:sz w:val="22"/>
        </w:rPr>
        <w:t>Avoidable delays to diagnostic pathways and patient treatment &amp; discharge</w:t>
      </w:r>
    </w:p>
    <w:p w:rsidR="00701552" w:rsidRDefault="00701552" w:rsidP="00B8621B">
      <w:pPr>
        <w:pStyle w:val="ListParagraph"/>
        <w:numPr>
          <w:ilvl w:val="0"/>
          <w:numId w:val="43"/>
        </w:numPr>
        <w:spacing w:before="180"/>
        <w:ind w:left="2137" w:hanging="357"/>
        <w:jc w:val="both"/>
        <w:rPr>
          <w:rFonts w:eastAsia="Calibri" w:cs="Arial"/>
          <w:sz w:val="22"/>
        </w:rPr>
      </w:pPr>
      <w:r>
        <w:rPr>
          <w:rFonts w:eastAsia="Calibri" w:cs="Arial"/>
          <w:sz w:val="22"/>
        </w:rPr>
        <w:t xml:space="preserve">Poor EQA performance leading to clinical decisions on POCT devices out of </w:t>
      </w:r>
      <w:proofErr w:type="spellStart"/>
      <w:r>
        <w:rPr>
          <w:rFonts w:eastAsia="Calibri" w:cs="Arial"/>
          <w:sz w:val="22"/>
        </w:rPr>
        <w:t>consentus</w:t>
      </w:r>
      <w:proofErr w:type="spellEnd"/>
    </w:p>
    <w:p w:rsidR="00701552" w:rsidRDefault="00701552" w:rsidP="00B8621B">
      <w:pPr>
        <w:pStyle w:val="ListParagraph"/>
        <w:numPr>
          <w:ilvl w:val="0"/>
          <w:numId w:val="43"/>
        </w:numPr>
        <w:spacing w:before="180"/>
        <w:ind w:left="2137" w:hanging="357"/>
        <w:jc w:val="both"/>
        <w:rPr>
          <w:rFonts w:eastAsia="Calibri" w:cs="Arial"/>
          <w:sz w:val="22"/>
        </w:rPr>
      </w:pPr>
      <w:r>
        <w:rPr>
          <w:rFonts w:eastAsia="Calibri" w:cs="Arial"/>
          <w:sz w:val="22"/>
        </w:rPr>
        <w:t>Increasing demand on front-line clinical staff</w:t>
      </w:r>
    </w:p>
    <w:p w:rsidR="00701552" w:rsidRDefault="00701552" w:rsidP="00B8621B">
      <w:pPr>
        <w:pStyle w:val="ListParagraph"/>
        <w:numPr>
          <w:ilvl w:val="0"/>
          <w:numId w:val="43"/>
        </w:numPr>
        <w:spacing w:before="180"/>
        <w:ind w:left="2137" w:hanging="357"/>
        <w:jc w:val="both"/>
        <w:rPr>
          <w:rFonts w:eastAsia="Calibri" w:cs="Arial"/>
          <w:sz w:val="22"/>
        </w:rPr>
      </w:pPr>
      <w:r>
        <w:rPr>
          <w:rFonts w:eastAsia="Calibri" w:cs="Arial"/>
          <w:sz w:val="22"/>
        </w:rPr>
        <w:t>Errors leading to serious incidents and reportable negative events for the Trust</w:t>
      </w:r>
    </w:p>
    <w:p w:rsidR="00701552" w:rsidRDefault="00701552" w:rsidP="00701552">
      <w:pPr>
        <w:spacing w:before="180"/>
        <w:ind w:left="1780"/>
        <w:jc w:val="both"/>
        <w:rPr>
          <w:rFonts w:eastAsia="Calibri" w:cs="Arial"/>
          <w:sz w:val="22"/>
        </w:rPr>
      </w:pPr>
    </w:p>
    <w:p w:rsidR="00701552" w:rsidRDefault="00701552" w:rsidP="00B8621B">
      <w:pPr>
        <w:numPr>
          <w:ilvl w:val="0"/>
          <w:numId w:val="41"/>
        </w:numPr>
        <w:spacing w:after="200" w:line="276" w:lineRule="auto"/>
        <w:ind w:left="357" w:hanging="357"/>
        <w:outlineLvl w:val="0"/>
        <w:rPr>
          <w:rFonts w:eastAsia="Times New Roman" w:cs="Arial"/>
          <w:b/>
          <w:color w:val="005EB8"/>
          <w:sz w:val="32"/>
          <w:szCs w:val="24"/>
          <w:lang w:eastAsia="en-GB"/>
        </w:rPr>
      </w:pPr>
      <w:bookmarkStart w:id="119" w:name="_Toc494718777"/>
      <w:bookmarkStart w:id="120" w:name="_Toc98324688"/>
      <w:bookmarkStart w:id="121" w:name="_Toc99880953"/>
      <w:bookmarkStart w:id="122" w:name="_Toc100070284"/>
      <w:bookmarkStart w:id="123" w:name="_Toc100307210"/>
      <w:bookmarkStart w:id="124" w:name="_Toc100307358"/>
      <w:bookmarkStart w:id="125" w:name="_Toc100318564"/>
      <w:bookmarkStart w:id="126" w:name="_Toc100320572"/>
      <w:bookmarkStart w:id="127" w:name="_Toc100341054"/>
      <w:bookmarkStart w:id="128" w:name="_Toc100569470"/>
      <w:bookmarkStart w:id="129" w:name="_Toc105493509"/>
      <w:bookmarkStart w:id="130" w:name="_Toc105665234"/>
      <w:r>
        <w:rPr>
          <w:rFonts w:cs="Arial"/>
          <w:b/>
          <w:color w:val="005EB8"/>
          <w:sz w:val="32"/>
        </w:rPr>
        <w:t>Current Service Description</w:t>
      </w:r>
      <w:bookmarkEnd w:id="119"/>
      <w:bookmarkEnd w:id="120"/>
      <w:bookmarkEnd w:id="121"/>
      <w:bookmarkEnd w:id="122"/>
      <w:bookmarkEnd w:id="123"/>
      <w:bookmarkEnd w:id="124"/>
      <w:bookmarkEnd w:id="125"/>
      <w:bookmarkEnd w:id="126"/>
      <w:bookmarkEnd w:id="127"/>
      <w:bookmarkEnd w:id="128"/>
      <w:bookmarkEnd w:id="129"/>
      <w:bookmarkEnd w:id="130"/>
    </w:p>
    <w:p w:rsidR="00701552" w:rsidRDefault="00701552" w:rsidP="00701552">
      <w:pPr>
        <w:ind w:left="357"/>
        <w:jc w:val="both"/>
        <w:rPr>
          <w:rFonts w:cs="Arial"/>
          <w:sz w:val="22"/>
        </w:rPr>
      </w:pPr>
      <w:r>
        <w:rPr>
          <w:rFonts w:cs="Arial"/>
          <w:sz w:val="22"/>
        </w:rPr>
        <w:t xml:space="preserve">POCT within ED covers Blood Gases, Blood Glucose Monitoring and RDT for </w:t>
      </w:r>
      <w:r>
        <w:rPr>
          <w:rFonts w:cs="Arial"/>
          <w:bCs/>
          <w:sz w:val="22"/>
        </w:rPr>
        <w:t>Pregnancy testing and Urine dipsticks, support by POCT co-ordinator.</w:t>
      </w:r>
    </w:p>
    <w:p w:rsidR="00701552" w:rsidRDefault="00701552" w:rsidP="00701552">
      <w:pPr>
        <w:ind w:left="357"/>
        <w:jc w:val="both"/>
        <w:rPr>
          <w:rFonts w:cs="Arial"/>
          <w:sz w:val="22"/>
        </w:rPr>
      </w:pPr>
    </w:p>
    <w:p w:rsidR="00701552" w:rsidRDefault="00701552" w:rsidP="00701552">
      <w:pPr>
        <w:ind w:left="357"/>
        <w:jc w:val="both"/>
        <w:rPr>
          <w:rFonts w:cs="Arial"/>
          <w:sz w:val="22"/>
        </w:rPr>
      </w:pPr>
      <w:r>
        <w:rPr>
          <w:rFonts w:cs="Arial"/>
          <w:sz w:val="22"/>
        </w:rPr>
        <w:t xml:space="preserve">Path Links provide </w:t>
      </w:r>
      <w:proofErr w:type="spellStart"/>
      <w:r>
        <w:rPr>
          <w:rFonts w:cs="Arial"/>
          <w:sz w:val="22"/>
        </w:rPr>
        <w:t>on site</w:t>
      </w:r>
      <w:proofErr w:type="spellEnd"/>
      <w:r>
        <w:rPr>
          <w:rFonts w:cs="Arial"/>
          <w:sz w:val="22"/>
        </w:rPr>
        <w:t xml:space="preserve"> Pathology laboratory Blood Science service 24/7 and Microbiology 09:00-21:00, out of hours samples are </w:t>
      </w:r>
      <w:proofErr w:type="spellStart"/>
      <w:r>
        <w:rPr>
          <w:rFonts w:cs="Arial"/>
          <w:sz w:val="22"/>
        </w:rPr>
        <w:t>taxi’d</w:t>
      </w:r>
      <w:proofErr w:type="spellEnd"/>
      <w:r>
        <w:rPr>
          <w:rFonts w:cs="Arial"/>
          <w:sz w:val="22"/>
        </w:rPr>
        <w:t xml:space="preserve"> to Microbiology at Scunthorpe hospital within the Path Links network.</w:t>
      </w:r>
    </w:p>
    <w:p w:rsidR="00701552" w:rsidRDefault="00701552" w:rsidP="00701552">
      <w:pPr>
        <w:ind w:left="357"/>
        <w:jc w:val="both"/>
        <w:rPr>
          <w:rFonts w:cs="Arial"/>
          <w:sz w:val="22"/>
        </w:rPr>
      </w:pPr>
    </w:p>
    <w:p w:rsidR="00701552" w:rsidRDefault="00701552" w:rsidP="00B8621B">
      <w:pPr>
        <w:numPr>
          <w:ilvl w:val="0"/>
          <w:numId w:val="41"/>
        </w:numPr>
        <w:spacing w:after="200" w:line="276" w:lineRule="auto"/>
        <w:ind w:left="357" w:hanging="357"/>
        <w:outlineLvl w:val="0"/>
        <w:rPr>
          <w:rFonts w:cs="Arial"/>
          <w:b/>
          <w:color w:val="005EB8"/>
          <w:sz w:val="32"/>
          <w:szCs w:val="24"/>
        </w:rPr>
      </w:pPr>
      <w:bookmarkStart w:id="131" w:name="_Toc98324689"/>
      <w:bookmarkStart w:id="132" w:name="_Toc99880954"/>
      <w:bookmarkStart w:id="133" w:name="_Toc100070285"/>
      <w:bookmarkStart w:id="134" w:name="_Toc100307211"/>
      <w:bookmarkStart w:id="135" w:name="_Toc100307359"/>
      <w:bookmarkStart w:id="136" w:name="_Toc100318565"/>
      <w:bookmarkStart w:id="137" w:name="_Toc100320573"/>
      <w:bookmarkStart w:id="138" w:name="_Toc100341055"/>
      <w:bookmarkStart w:id="139" w:name="_Toc100569471"/>
      <w:bookmarkStart w:id="140" w:name="_Toc105493510"/>
      <w:bookmarkStart w:id="141" w:name="_Toc105665235"/>
      <w:bookmarkStart w:id="142" w:name="_Toc494718779"/>
      <w:r>
        <w:rPr>
          <w:rFonts w:cs="Arial"/>
          <w:b/>
          <w:color w:val="005EB8"/>
          <w:sz w:val="32"/>
        </w:rPr>
        <w:t>Case for Change</w:t>
      </w:r>
      <w:bookmarkEnd w:id="131"/>
      <w:bookmarkEnd w:id="132"/>
      <w:bookmarkEnd w:id="133"/>
      <w:bookmarkEnd w:id="134"/>
      <w:bookmarkEnd w:id="135"/>
      <w:bookmarkEnd w:id="136"/>
      <w:bookmarkEnd w:id="137"/>
      <w:bookmarkEnd w:id="138"/>
      <w:bookmarkEnd w:id="139"/>
      <w:bookmarkEnd w:id="140"/>
      <w:bookmarkEnd w:id="141"/>
      <w:r>
        <w:rPr>
          <w:rFonts w:cs="Arial"/>
          <w:b/>
          <w:color w:val="005EB8"/>
          <w:sz w:val="32"/>
        </w:rPr>
        <w:t xml:space="preserve"> </w:t>
      </w:r>
    </w:p>
    <w:p w:rsidR="00701552" w:rsidRDefault="00701552" w:rsidP="00701552">
      <w:pPr>
        <w:spacing w:after="200" w:line="276" w:lineRule="auto"/>
        <w:ind w:left="357"/>
        <w:jc w:val="both"/>
        <w:outlineLvl w:val="0"/>
        <w:rPr>
          <w:rFonts w:cs="Arial"/>
          <w:sz w:val="22"/>
        </w:rPr>
      </w:pPr>
      <w:bookmarkStart w:id="143" w:name="_Toc98324690"/>
      <w:bookmarkStart w:id="144" w:name="_Toc99880955"/>
      <w:bookmarkStart w:id="145" w:name="_Toc100070286"/>
      <w:bookmarkStart w:id="146" w:name="_Toc100307212"/>
      <w:bookmarkStart w:id="147" w:name="_Toc100307360"/>
      <w:bookmarkStart w:id="148" w:name="_Toc100318566"/>
      <w:bookmarkStart w:id="149" w:name="_Toc100320574"/>
      <w:bookmarkStart w:id="150" w:name="_Toc100341056"/>
      <w:bookmarkStart w:id="151" w:name="_Toc100569472"/>
      <w:bookmarkStart w:id="152" w:name="_Toc105493511"/>
      <w:bookmarkStart w:id="153" w:name="_Toc105665236"/>
      <w:r>
        <w:rPr>
          <w:rFonts w:cs="Arial"/>
          <w:sz w:val="22"/>
        </w:rPr>
        <w:t>The development of a new ED and UTC Diagnostic facility including POCT on the Pilgrim site with ULHT managing the ED and LCHS managing the UTC.  Aim of the preferred option would be a significant benefit to front line clinical operations and to patient care in that:</w:t>
      </w:r>
      <w:bookmarkEnd w:id="143"/>
      <w:bookmarkEnd w:id="144"/>
      <w:bookmarkEnd w:id="145"/>
      <w:bookmarkEnd w:id="146"/>
      <w:bookmarkEnd w:id="147"/>
      <w:bookmarkEnd w:id="148"/>
      <w:bookmarkEnd w:id="149"/>
      <w:bookmarkEnd w:id="150"/>
      <w:bookmarkEnd w:id="151"/>
      <w:bookmarkEnd w:id="152"/>
      <w:bookmarkEnd w:id="153"/>
    </w:p>
    <w:p w:rsidR="00701552" w:rsidRDefault="00701552" w:rsidP="00B8621B">
      <w:pPr>
        <w:pStyle w:val="ListParagraph"/>
        <w:numPr>
          <w:ilvl w:val="0"/>
          <w:numId w:val="44"/>
        </w:numPr>
        <w:ind w:left="1071" w:hanging="357"/>
        <w:jc w:val="both"/>
        <w:outlineLvl w:val="0"/>
        <w:rPr>
          <w:rFonts w:cs="Arial"/>
          <w:sz w:val="22"/>
        </w:rPr>
      </w:pPr>
      <w:bookmarkStart w:id="154" w:name="_Toc98324691"/>
      <w:bookmarkStart w:id="155" w:name="_Toc99880956"/>
      <w:bookmarkStart w:id="156" w:name="_Toc100070287"/>
      <w:bookmarkStart w:id="157" w:name="_Toc100307213"/>
      <w:bookmarkStart w:id="158" w:name="_Toc100307361"/>
      <w:bookmarkStart w:id="159" w:name="_Toc100318567"/>
      <w:bookmarkStart w:id="160" w:name="_Toc100320575"/>
      <w:bookmarkStart w:id="161" w:name="_Toc100341057"/>
      <w:bookmarkStart w:id="162" w:name="_Toc100569473"/>
      <w:bookmarkStart w:id="163" w:name="_Toc105493512"/>
      <w:bookmarkStart w:id="164" w:name="_Toc105665237"/>
      <w:r>
        <w:rPr>
          <w:rFonts w:cs="Arial"/>
          <w:sz w:val="22"/>
        </w:rPr>
        <w:t>Front line clinical staff time is released for other activities, reducing pressure on junior doctor and ward staff</w:t>
      </w:r>
      <w:bookmarkEnd w:id="154"/>
      <w:bookmarkEnd w:id="155"/>
      <w:bookmarkEnd w:id="156"/>
      <w:bookmarkEnd w:id="157"/>
      <w:bookmarkEnd w:id="158"/>
      <w:bookmarkEnd w:id="159"/>
      <w:bookmarkEnd w:id="160"/>
      <w:bookmarkEnd w:id="161"/>
      <w:bookmarkEnd w:id="162"/>
      <w:bookmarkEnd w:id="163"/>
      <w:bookmarkEnd w:id="164"/>
    </w:p>
    <w:p w:rsidR="00701552" w:rsidRDefault="00701552" w:rsidP="00B8621B">
      <w:pPr>
        <w:pStyle w:val="ListParagraph"/>
        <w:numPr>
          <w:ilvl w:val="0"/>
          <w:numId w:val="44"/>
        </w:numPr>
        <w:spacing w:before="120"/>
        <w:jc w:val="both"/>
        <w:rPr>
          <w:rFonts w:cs="Arial"/>
          <w:sz w:val="22"/>
        </w:rPr>
      </w:pPr>
      <w:r>
        <w:rPr>
          <w:rFonts w:cs="Arial"/>
          <w:sz w:val="22"/>
        </w:rPr>
        <w:t>Address the current rejection rates and improve real-time patient diagnostic demand leading to timely clinical decisions and patient discharge</w:t>
      </w:r>
    </w:p>
    <w:p w:rsidR="00701552" w:rsidRDefault="00701552" w:rsidP="00B8621B">
      <w:pPr>
        <w:pStyle w:val="ListParagraph"/>
        <w:numPr>
          <w:ilvl w:val="0"/>
          <w:numId w:val="44"/>
        </w:numPr>
        <w:spacing w:before="120"/>
        <w:jc w:val="both"/>
        <w:rPr>
          <w:rFonts w:cs="Arial"/>
          <w:sz w:val="22"/>
        </w:rPr>
      </w:pPr>
      <w:r>
        <w:rPr>
          <w:rFonts w:cs="Arial"/>
          <w:sz w:val="22"/>
        </w:rPr>
        <w:t>Provides additional capacity to support activity growth</w:t>
      </w:r>
    </w:p>
    <w:p w:rsidR="00701552" w:rsidRDefault="00701552" w:rsidP="00B8621B">
      <w:pPr>
        <w:pStyle w:val="ListParagraph"/>
        <w:numPr>
          <w:ilvl w:val="0"/>
          <w:numId w:val="44"/>
        </w:numPr>
        <w:spacing w:before="120"/>
        <w:jc w:val="both"/>
        <w:rPr>
          <w:rFonts w:cs="Arial"/>
          <w:sz w:val="22"/>
        </w:rPr>
      </w:pPr>
      <w:r>
        <w:rPr>
          <w:rFonts w:cs="Arial"/>
          <w:sz w:val="22"/>
        </w:rPr>
        <w:t>Provides greater flexibility of service provision and availability</w:t>
      </w:r>
    </w:p>
    <w:p w:rsidR="00701552" w:rsidRDefault="00701552" w:rsidP="00701552">
      <w:pPr>
        <w:pStyle w:val="ListParagraph"/>
        <w:spacing w:before="120"/>
        <w:ind w:left="1077"/>
        <w:jc w:val="both"/>
        <w:rPr>
          <w:rFonts w:cs="Arial"/>
          <w:sz w:val="22"/>
        </w:rPr>
      </w:pPr>
    </w:p>
    <w:p w:rsidR="00701552" w:rsidRDefault="00701552" w:rsidP="00701552">
      <w:pPr>
        <w:pStyle w:val="ListParagraph"/>
        <w:spacing w:before="120"/>
        <w:ind w:left="1077"/>
        <w:jc w:val="both"/>
        <w:rPr>
          <w:rFonts w:cs="Arial"/>
          <w:sz w:val="22"/>
        </w:rPr>
      </w:pPr>
    </w:p>
    <w:p w:rsidR="00701552" w:rsidRDefault="00701552" w:rsidP="00B8621B">
      <w:pPr>
        <w:numPr>
          <w:ilvl w:val="0"/>
          <w:numId w:val="41"/>
        </w:numPr>
        <w:spacing w:after="200" w:line="276" w:lineRule="auto"/>
        <w:ind w:left="357" w:hanging="357"/>
        <w:outlineLvl w:val="0"/>
        <w:rPr>
          <w:rFonts w:cs="Arial"/>
          <w:b/>
          <w:color w:val="005EB8"/>
          <w:sz w:val="32"/>
          <w:szCs w:val="24"/>
        </w:rPr>
      </w:pPr>
      <w:bookmarkStart w:id="165" w:name="_Toc98324692"/>
      <w:bookmarkStart w:id="166" w:name="_Toc99880957"/>
      <w:bookmarkStart w:id="167" w:name="_Toc100070288"/>
      <w:bookmarkStart w:id="168" w:name="_Toc100307214"/>
      <w:bookmarkStart w:id="169" w:name="_Toc100307362"/>
      <w:bookmarkStart w:id="170" w:name="_Toc100318568"/>
      <w:bookmarkStart w:id="171" w:name="_Toc100320576"/>
      <w:bookmarkStart w:id="172" w:name="_Toc100341058"/>
      <w:bookmarkStart w:id="173" w:name="_Toc100569474"/>
      <w:bookmarkStart w:id="174" w:name="_Toc105493513"/>
      <w:bookmarkStart w:id="175" w:name="_Toc105665238"/>
      <w:r>
        <w:rPr>
          <w:rFonts w:cs="Arial"/>
          <w:b/>
          <w:color w:val="005EB8"/>
          <w:sz w:val="32"/>
        </w:rPr>
        <w:t>Outline of the three Proposal</w:t>
      </w:r>
      <w:bookmarkEnd w:id="142"/>
      <w:r>
        <w:rPr>
          <w:rFonts w:cs="Arial"/>
          <w:b/>
          <w:color w:val="005EB8"/>
          <w:sz w:val="32"/>
        </w:rPr>
        <w:t>’s</w:t>
      </w:r>
      <w:bookmarkEnd w:id="165"/>
      <w:bookmarkEnd w:id="166"/>
      <w:bookmarkEnd w:id="167"/>
      <w:bookmarkEnd w:id="168"/>
      <w:bookmarkEnd w:id="169"/>
      <w:bookmarkEnd w:id="170"/>
      <w:bookmarkEnd w:id="171"/>
      <w:bookmarkEnd w:id="172"/>
      <w:bookmarkEnd w:id="173"/>
      <w:bookmarkEnd w:id="174"/>
      <w:bookmarkEnd w:id="175"/>
    </w:p>
    <w:p w:rsidR="00701552" w:rsidRDefault="00701552" w:rsidP="00701552">
      <w:pPr>
        <w:autoSpaceDE w:val="0"/>
        <w:autoSpaceDN w:val="0"/>
        <w:adjustRightInd w:val="0"/>
        <w:rPr>
          <w:rFonts w:cs="Arial"/>
          <w:color w:val="000000"/>
          <w:sz w:val="22"/>
        </w:rPr>
      </w:pPr>
    </w:p>
    <w:p w:rsidR="00701552" w:rsidRDefault="00701552" w:rsidP="00701552">
      <w:pPr>
        <w:pStyle w:val="ListParagraph"/>
        <w:autoSpaceDE w:val="0"/>
        <w:autoSpaceDN w:val="0"/>
        <w:adjustRightInd w:val="0"/>
        <w:ind w:left="360"/>
        <w:rPr>
          <w:rFonts w:cs="Arial"/>
          <w:b/>
          <w:color w:val="000000"/>
          <w:sz w:val="22"/>
        </w:rPr>
      </w:pPr>
      <w:r>
        <w:rPr>
          <w:rFonts w:cs="Arial"/>
          <w:b/>
          <w:color w:val="000000"/>
          <w:sz w:val="22"/>
        </w:rPr>
        <w:t>Option 1</w:t>
      </w:r>
    </w:p>
    <w:p w:rsidR="00701552" w:rsidRDefault="00701552" w:rsidP="00701552">
      <w:pPr>
        <w:pStyle w:val="ListParagraph"/>
        <w:autoSpaceDE w:val="0"/>
        <w:autoSpaceDN w:val="0"/>
        <w:adjustRightInd w:val="0"/>
        <w:ind w:left="360"/>
        <w:rPr>
          <w:rFonts w:cs="Arial"/>
          <w:color w:val="000000"/>
          <w:sz w:val="22"/>
        </w:rPr>
      </w:pPr>
    </w:p>
    <w:p w:rsidR="00701552" w:rsidRDefault="00701552" w:rsidP="00701552">
      <w:pPr>
        <w:pStyle w:val="ListParagraph"/>
        <w:autoSpaceDE w:val="0"/>
        <w:autoSpaceDN w:val="0"/>
        <w:adjustRightInd w:val="0"/>
        <w:ind w:left="360"/>
        <w:rPr>
          <w:rFonts w:cs="Arial"/>
          <w:color w:val="000000"/>
          <w:sz w:val="22"/>
        </w:rPr>
      </w:pPr>
      <w:r>
        <w:rPr>
          <w:rFonts w:cs="Arial"/>
          <w:color w:val="000000"/>
          <w:sz w:val="22"/>
        </w:rPr>
        <w:t>Diagnostic room with POCT within ED/UTC, run by ED/UTC staff, with 2 x Phlebotomist</w:t>
      </w:r>
    </w:p>
    <w:p w:rsidR="00701552" w:rsidRDefault="00701552" w:rsidP="00701552">
      <w:pPr>
        <w:pStyle w:val="ListParagraph"/>
        <w:autoSpaceDE w:val="0"/>
        <w:autoSpaceDN w:val="0"/>
        <w:adjustRightInd w:val="0"/>
        <w:ind w:left="360"/>
        <w:rPr>
          <w:rFonts w:cs="Arial"/>
          <w:color w:val="000000"/>
          <w:sz w:val="22"/>
        </w:rPr>
      </w:pPr>
    </w:p>
    <w:p w:rsidR="00701552" w:rsidRDefault="00701552" w:rsidP="00701552">
      <w:pPr>
        <w:pStyle w:val="ListParagraph"/>
        <w:autoSpaceDE w:val="0"/>
        <w:autoSpaceDN w:val="0"/>
        <w:adjustRightInd w:val="0"/>
        <w:ind w:left="360"/>
        <w:rPr>
          <w:rFonts w:cs="Arial"/>
          <w:color w:val="000000"/>
          <w:sz w:val="22"/>
        </w:rPr>
      </w:pPr>
      <w:r>
        <w:rPr>
          <w:rFonts w:cs="Arial"/>
          <w:color w:val="000000"/>
          <w:sz w:val="22"/>
        </w:rPr>
        <w:lastRenderedPageBreak/>
        <w:t>Staff from the ED/UTC areas running the POCT</w:t>
      </w:r>
      <w:proofErr w:type="gramStart"/>
      <w:r>
        <w:rPr>
          <w:rFonts w:cs="Arial"/>
          <w:color w:val="000000"/>
          <w:sz w:val="22"/>
        </w:rPr>
        <w:t>,  completing</w:t>
      </w:r>
      <w:proofErr w:type="gramEnd"/>
      <w:r>
        <w:rPr>
          <w:rFonts w:cs="Arial"/>
          <w:color w:val="000000"/>
          <w:sz w:val="22"/>
        </w:rPr>
        <w:t xml:space="preserve"> the daily task list for all platforms </w:t>
      </w:r>
    </w:p>
    <w:p w:rsidR="00701552" w:rsidRDefault="00701552" w:rsidP="00701552">
      <w:pPr>
        <w:pStyle w:val="ListParagraph"/>
        <w:autoSpaceDE w:val="0"/>
        <w:autoSpaceDN w:val="0"/>
        <w:adjustRightInd w:val="0"/>
        <w:ind w:left="360"/>
        <w:rPr>
          <w:rFonts w:cs="Arial"/>
          <w:color w:val="000000"/>
          <w:sz w:val="22"/>
        </w:rPr>
      </w:pPr>
    </w:p>
    <w:p w:rsidR="00701552" w:rsidRDefault="00701552" w:rsidP="00B8621B">
      <w:pPr>
        <w:pStyle w:val="ListParagraph"/>
        <w:numPr>
          <w:ilvl w:val="0"/>
          <w:numId w:val="45"/>
        </w:numPr>
        <w:jc w:val="both"/>
        <w:rPr>
          <w:rFonts w:cs="Arial"/>
          <w:sz w:val="22"/>
        </w:rPr>
      </w:pPr>
      <w:r>
        <w:rPr>
          <w:rFonts w:cs="Arial"/>
          <w:sz w:val="22"/>
        </w:rPr>
        <w:t>Performing POCT testing on ED/UTC samples for patients, recording these within the patient notes.</w:t>
      </w:r>
    </w:p>
    <w:p w:rsidR="00701552" w:rsidRDefault="00701552" w:rsidP="00701552">
      <w:pPr>
        <w:ind w:left="360"/>
        <w:jc w:val="both"/>
        <w:rPr>
          <w:rFonts w:cs="Arial"/>
          <w:sz w:val="22"/>
        </w:rPr>
      </w:pPr>
    </w:p>
    <w:p w:rsidR="00701552" w:rsidRDefault="00701552" w:rsidP="00B8621B">
      <w:pPr>
        <w:pStyle w:val="ListParagraph"/>
        <w:numPr>
          <w:ilvl w:val="0"/>
          <w:numId w:val="45"/>
        </w:numPr>
        <w:jc w:val="both"/>
        <w:rPr>
          <w:rFonts w:cs="Arial"/>
          <w:sz w:val="22"/>
        </w:rPr>
      </w:pPr>
      <w:r>
        <w:rPr>
          <w:rFonts w:cs="Arial"/>
          <w:sz w:val="22"/>
        </w:rPr>
        <w:t xml:space="preserve">Performing Blood Gases, base for the Blood Glucose and Ketone monitors and RDT POCT for pregnancy and Urine dipstick.  </w:t>
      </w:r>
    </w:p>
    <w:p w:rsidR="00701552" w:rsidRDefault="00701552" w:rsidP="00701552">
      <w:pPr>
        <w:ind w:left="360"/>
        <w:jc w:val="both"/>
        <w:rPr>
          <w:rFonts w:cs="Arial"/>
          <w:sz w:val="22"/>
        </w:rPr>
      </w:pPr>
    </w:p>
    <w:p w:rsidR="00701552" w:rsidRDefault="00701552" w:rsidP="00B8621B">
      <w:pPr>
        <w:pStyle w:val="ListParagraph"/>
        <w:numPr>
          <w:ilvl w:val="0"/>
          <w:numId w:val="45"/>
        </w:numPr>
        <w:jc w:val="both"/>
        <w:rPr>
          <w:rFonts w:cs="Arial"/>
          <w:sz w:val="22"/>
        </w:rPr>
      </w:pPr>
      <w:r>
        <w:rPr>
          <w:rFonts w:cs="Arial"/>
          <w:sz w:val="22"/>
        </w:rPr>
        <w:t xml:space="preserve">Clinical staff perform daily IQC and monthly EQA returns on the POCT devices, perform </w:t>
      </w:r>
      <w:proofErr w:type="spellStart"/>
      <w:r>
        <w:rPr>
          <w:rFonts w:cs="Arial"/>
          <w:sz w:val="22"/>
        </w:rPr>
        <w:t>maintainance</w:t>
      </w:r>
      <w:proofErr w:type="spellEnd"/>
      <w:r>
        <w:rPr>
          <w:rFonts w:cs="Arial"/>
          <w:sz w:val="22"/>
        </w:rPr>
        <w:t xml:space="preserve"> procedures and deal with any problems, communicate with the Path Links laboratory staff, POCT Co-ordinator, Diabetes team and providers.</w:t>
      </w:r>
    </w:p>
    <w:p w:rsidR="00701552" w:rsidRDefault="00701552" w:rsidP="00701552">
      <w:pPr>
        <w:rPr>
          <w:rFonts w:cs="Arial"/>
          <w:sz w:val="22"/>
        </w:rPr>
      </w:pPr>
    </w:p>
    <w:p w:rsidR="00701552" w:rsidRDefault="00701552" w:rsidP="00B8621B">
      <w:pPr>
        <w:pStyle w:val="ListParagraph"/>
        <w:numPr>
          <w:ilvl w:val="0"/>
          <w:numId w:val="45"/>
        </w:numPr>
        <w:jc w:val="both"/>
        <w:rPr>
          <w:rFonts w:cs="Arial"/>
          <w:sz w:val="22"/>
        </w:rPr>
      </w:pPr>
      <w:r>
        <w:rPr>
          <w:rFonts w:cs="Arial"/>
          <w:sz w:val="22"/>
        </w:rPr>
        <w:t xml:space="preserve">Standard Operating Procedures (SOP) for the Clinical staff to follow providing a </w:t>
      </w:r>
      <w:proofErr w:type="spellStart"/>
      <w:r>
        <w:rPr>
          <w:rFonts w:cs="Arial"/>
          <w:sz w:val="22"/>
        </w:rPr>
        <w:t>consistant</w:t>
      </w:r>
      <w:proofErr w:type="spellEnd"/>
      <w:r>
        <w:rPr>
          <w:rFonts w:cs="Arial"/>
          <w:sz w:val="22"/>
        </w:rPr>
        <w:t xml:space="preserve"> approach to ED/UTC POCT.</w:t>
      </w:r>
    </w:p>
    <w:p w:rsidR="00701552" w:rsidRDefault="00701552" w:rsidP="00701552">
      <w:pPr>
        <w:pStyle w:val="ListParagraph"/>
        <w:rPr>
          <w:rFonts w:cs="Arial"/>
          <w:sz w:val="22"/>
        </w:rPr>
      </w:pPr>
    </w:p>
    <w:p w:rsidR="00701552" w:rsidRDefault="00701552" w:rsidP="00B8621B">
      <w:pPr>
        <w:pStyle w:val="ListParagraph"/>
        <w:numPr>
          <w:ilvl w:val="0"/>
          <w:numId w:val="45"/>
        </w:numPr>
        <w:jc w:val="both"/>
        <w:rPr>
          <w:rFonts w:cs="Arial"/>
          <w:sz w:val="22"/>
        </w:rPr>
      </w:pPr>
      <w:r>
        <w:rPr>
          <w:rFonts w:cs="Arial"/>
          <w:sz w:val="22"/>
        </w:rPr>
        <w:t>Provision of two Phlebotomy staff to support both ED and UTC areas, need to review the work up around foot fall into both departments.</w:t>
      </w:r>
    </w:p>
    <w:p w:rsidR="00701552" w:rsidRDefault="00701552" w:rsidP="00701552">
      <w:pPr>
        <w:pStyle w:val="ListParagraph"/>
        <w:rPr>
          <w:rFonts w:cs="Arial"/>
          <w:sz w:val="22"/>
        </w:rPr>
      </w:pPr>
    </w:p>
    <w:p w:rsidR="00701552" w:rsidRDefault="00701552" w:rsidP="00B8621B">
      <w:pPr>
        <w:pStyle w:val="ListParagraph"/>
        <w:numPr>
          <w:ilvl w:val="0"/>
          <w:numId w:val="45"/>
        </w:numPr>
        <w:rPr>
          <w:rFonts w:cs="Arial"/>
          <w:sz w:val="22"/>
        </w:rPr>
      </w:pPr>
      <w:r>
        <w:rPr>
          <w:rFonts w:cs="Arial"/>
          <w:sz w:val="22"/>
        </w:rPr>
        <w:t>Phlebotomy training within both areas, based around the needle and holder method, butterflies and cannula draws taken from Major/</w:t>
      </w:r>
      <w:proofErr w:type="spellStart"/>
      <w:r>
        <w:rPr>
          <w:rFonts w:cs="Arial"/>
          <w:sz w:val="22"/>
        </w:rPr>
        <w:t>Rheus</w:t>
      </w:r>
      <w:proofErr w:type="spellEnd"/>
      <w:r>
        <w:rPr>
          <w:rFonts w:cs="Arial"/>
          <w:sz w:val="22"/>
        </w:rPr>
        <w:t xml:space="preserve"> patients only,  </w:t>
      </w:r>
    </w:p>
    <w:p w:rsidR="00701552" w:rsidRDefault="00701552" w:rsidP="00701552">
      <w:pPr>
        <w:pStyle w:val="ListParagraph"/>
        <w:ind w:left="1440"/>
        <w:rPr>
          <w:rFonts w:cs="Arial"/>
          <w:sz w:val="22"/>
        </w:rPr>
      </w:pPr>
    </w:p>
    <w:p w:rsidR="00701552" w:rsidRDefault="00701552" w:rsidP="00B8621B">
      <w:pPr>
        <w:pStyle w:val="ListParagraph"/>
        <w:numPr>
          <w:ilvl w:val="0"/>
          <w:numId w:val="45"/>
        </w:numPr>
        <w:rPr>
          <w:rFonts w:cs="Arial"/>
          <w:sz w:val="22"/>
        </w:rPr>
      </w:pPr>
      <w:r>
        <w:rPr>
          <w:rFonts w:cs="Arial"/>
          <w:sz w:val="22"/>
        </w:rPr>
        <w:t>Bottle collection system provider can provide additional training as part of current Pathology Collection System tender.</w:t>
      </w:r>
    </w:p>
    <w:p w:rsidR="00701552" w:rsidRDefault="00701552" w:rsidP="00701552">
      <w:pPr>
        <w:autoSpaceDE w:val="0"/>
        <w:autoSpaceDN w:val="0"/>
        <w:adjustRightInd w:val="0"/>
        <w:rPr>
          <w:rFonts w:cs="Arial"/>
          <w:color w:val="000000"/>
          <w:sz w:val="22"/>
        </w:rPr>
      </w:pPr>
    </w:p>
    <w:p w:rsidR="00701552" w:rsidRDefault="00701552" w:rsidP="00701552">
      <w:pPr>
        <w:autoSpaceDE w:val="0"/>
        <w:autoSpaceDN w:val="0"/>
        <w:adjustRightInd w:val="0"/>
        <w:rPr>
          <w:rFonts w:cs="Arial"/>
          <w:color w:val="000000"/>
          <w:sz w:val="22"/>
        </w:rPr>
      </w:pPr>
    </w:p>
    <w:p w:rsidR="00701552" w:rsidRDefault="00701552" w:rsidP="00701552">
      <w:pPr>
        <w:pStyle w:val="ListParagraph"/>
        <w:autoSpaceDE w:val="0"/>
        <w:autoSpaceDN w:val="0"/>
        <w:adjustRightInd w:val="0"/>
        <w:ind w:left="360"/>
        <w:rPr>
          <w:rFonts w:cs="Arial"/>
          <w:b/>
          <w:color w:val="000000"/>
          <w:sz w:val="22"/>
        </w:rPr>
      </w:pPr>
      <w:r>
        <w:rPr>
          <w:rFonts w:cs="Arial"/>
          <w:b/>
          <w:color w:val="000000"/>
          <w:sz w:val="22"/>
        </w:rPr>
        <w:t>Option 2</w:t>
      </w:r>
    </w:p>
    <w:p w:rsidR="00701552" w:rsidRDefault="00701552" w:rsidP="00701552">
      <w:pPr>
        <w:pStyle w:val="ListParagraph"/>
        <w:autoSpaceDE w:val="0"/>
        <w:autoSpaceDN w:val="0"/>
        <w:adjustRightInd w:val="0"/>
        <w:ind w:left="360"/>
        <w:rPr>
          <w:rFonts w:cs="Arial"/>
          <w:color w:val="000000"/>
          <w:sz w:val="22"/>
        </w:rPr>
      </w:pPr>
    </w:p>
    <w:p w:rsidR="00701552" w:rsidRDefault="00701552" w:rsidP="00701552">
      <w:pPr>
        <w:ind w:left="360"/>
        <w:jc w:val="both"/>
        <w:rPr>
          <w:rFonts w:cs="Arial"/>
          <w:sz w:val="22"/>
        </w:rPr>
      </w:pPr>
      <w:r>
        <w:rPr>
          <w:rFonts w:cs="Arial"/>
          <w:color w:val="000000"/>
          <w:sz w:val="22"/>
        </w:rPr>
        <w:t xml:space="preserve">Diagnostic room with </w:t>
      </w:r>
      <w:r>
        <w:rPr>
          <w:rFonts w:cs="Arial"/>
          <w:sz w:val="22"/>
        </w:rPr>
        <w:t xml:space="preserve">POCT within ED/UTC, run by additional Path Links staff, </w:t>
      </w:r>
      <w:r>
        <w:rPr>
          <w:rFonts w:cs="Arial"/>
          <w:color w:val="000000"/>
          <w:sz w:val="22"/>
        </w:rPr>
        <w:t>with 2 x Phlebotomist</w:t>
      </w:r>
    </w:p>
    <w:p w:rsidR="00701552" w:rsidRDefault="00701552" w:rsidP="00701552">
      <w:pPr>
        <w:jc w:val="both"/>
        <w:rPr>
          <w:rFonts w:cs="Arial"/>
          <w:sz w:val="22"/>
        </w:rPr>
      </w:pPr>
    </w:p>
    <w:p w:rsidR="00701552" w:rsidRDefault="00701552" w:rsidP="00701552">
      <w:pPr>
        <w:ind w:left="360"/>
        <w:jc w:val="both"/>
        <w:rPr>
          <w:rFonts w:cs="Arial"/>
          <w:sz w:val="22"/>
        </w:rPr>
      </w:pPr>
      <w:r>
        <w:rPr>
          <w:rFonts w:cs="Arial"/>
          <w:sz w:val="22"/>
        </w:rPr>
        <w:t xml:space="preserve">Looking at providing staffing from the laboratory Band 3 staff group, additional requirement for recruitment of six Biomedical Assistants (BMA).  Working on 24/7 operation within the diagnostic room would require a minimum of 5.51 WTE based on sickness and annual leave at 23%. </w:t>
      </w:r>
      <w:proofErr w:type="spellStart"/>
      <w:r>
        <w:rPr>
          <w:rFonts w:cs="Arial"/>
          <w:sz w:val="22"/>
        </w:rPr>
        <w:t>Prosposal</w:t>
      </w:r>
      <w:proofErr w:type="spellEnd"/>
      <w:r>
        <w:rPr>
          <w:rFonts w:cs="Arial"/>
          <w:sz w:val="22"/>
        </w:rPr>
        <w:t xml:space="preserve"> that the BMA rotate through both the blood sciences laboratory and the proposed POCT unit.  </w:t>
      </w:r>
    </w:p>
    <w:p w:rsidR="00701552" w:rsidRDefault="00701552" w:rsidP="00701552">
      <w:pPr>
        <w:ind w:left="360"/>
        <w:jc w:val="both"/>
        <w:rPr>
          <w:rFonts w:cs="Arial"/>
          <w:sz w:val="22"/>
        </w:rPr>
      </w:pPr>
    </w:p>
    <w:p w:rsidR="00701552" w:rsidRDefault="00701552" w:rsidP="00701552">
      <w:pPr>
        <w:ind w:left="360"/>
        <w:jc w:val="both"/>
        <w:rPr>
          <w:rFonts w:cs="Arial"/>
          <w:sz w:val="22"/>
        </w:rPr>
      </w:pPr>
      <w:r>
        <w:rPr>
          <w:rFonts w:cs="Arial"/>
          <w:sz w:val="22"/>
        </w:rPr>
        <w:t>Note this would require a consultation with this staff group to change there working practise to include the POCT facility within the ED/UTC.</w:t>
      </w:r>
    </w:p>
    <w:p w:rsidR="00701552" w:rsidRDefault="00701552" w:rsidP="00701552">
      <w:pPr>
        <w:ind w:left="360"/>
        <w:jc w:val="both"/>
        <w:rPr>
          <w:rFonts w:cs="Arial"/>
          <w:sz w:val="22"/>
        </w:rPr>
      </w:pPr>
    </w:p>
    <w:p w:rsidR="00701552" w:rsidRDefault="00701552" w:rsidP="00701552">
      <w:pPr>
        <w:ind w:left="360"/>
        <w:jc w:val="both"/>
        <w:rPr>
          <w:rFonts w:cs="Arial"/>
          <w:sz w:val="22"/>
        </w:rPr>
      </w:pPr>
      <w:r>
        <w:rPr>
          <w:rFonts w:cs="Arial"/>
          <w:sz w:val="22"/>
        </w:rPr>
        <w:t>The BMA staff can run the POCT facility:</w:t>
      </w:r>
    </w:p>
    <w:p w:rsidR="00701552" w:rsidRDefault="00701552" w:rsidP="00701552">
      <w:pPr>
        <w:ind w:left="360"/>
        <w:jc w:val="both"/>
        <w:rPr>
          <w:rFonts w:cs="Arial"/>
          <w:sz w:val="22"/>
        </w:rPr>
      </w:pPr>
    </w:p>
    <w:p w:rsidR="00701552" w:rsidRDefault="00701552" w:rsidP="00B8621B">
      <w:pPr>
        <w:pStyle w:val="ListParagraph"/>
        <w:numPr>
          <w:ilvl w:val="0"/>
          <w:numId w:val="45"/>
        </w:numPr>
        <w:jc w:val="both"/>
        <w:rPr>
          <w:rFonts w:cs="Arial"/>
          <w:sz w:val="22"/>
        </w:rPr>
      </w:pPr>
      <w:r>
        <w:rPr>
          <w:rFonts w:cs="Arial"/>
          <w:sz w:val="22"/>
        </w:rPr>
        <w:t>Performing POCT testing on ED/UTC samples for ED/UTC clinical staff.</w:t>
      </w:r>
    </w:p>
    <w:p w:rsidR="00701552" w:rsidRDefault="00701552" w:rsidP="00701552">
      <w:pPr>
        <w:jc w:val="both"/>
        <w:rPr>
          <w:rFonts w:cs="Arial"/>
          <w:sz w:val="22"/>
        </w:rPr>
      </w:pPr>
    </w:p>
    <w:p w:rsidR="00701552" w:rsidRDefault="00701552" w:rsidP="00B8621B">
      <w:pPr>
        <w:pStyle w:val="ListParagraph"/>
        <w:numPr>
          <w:ilvl w:val="0"/>
          <w:numId w:val="45"/>
        </w:numPr>
        <w:jc w:val="both"/>
        <w:rPr>
          <w:rFonts w:cs="Arial"/>
          <w:sz w:val="22"/>
        </w:rPr>
      </w:pPr>
      <w:r>
        <w:rPr>
          <w:rFonts w:cs="Arial"/>
          <w:sz w:val="22"/>
        </w:rPr>
        <w:t xml:space="preserve">Perform Blood Gases, base for the Blood Glucose and Ketone monitors used in tandem by Clinical staff and BMA.  RDT POCT for pregnancy and Urine dipstick.  </w:t>
      </w:r>
    </w:p>
    <w:p w:rsidR="00701552" w:rsidRDefault="00701552" w:rsidP="00701552">
      <w:pPr>
        <w:pStyle w:val="ListParagraph"/>
        <w:rPr>
          <w:rFonts w:cs="Arial"/>
          <w:sz w:val="22"/>
        </w:rPr>
      </w:pPr>
    </w:p>
    <w:p w:rsidR="00701552" w:rsidRDefault="00701552" w:rsidP="00B8621B">
      <w:pPr>
        <w:pStyle w:val="ListParagraph"/>
        <w:numPr>
          <w:ilvl w:val="0"/>
          <w:numId w:val="45"/>
        </w:numPr>
        <w:jc w:val="both"/>
        <w:rPr>
          <w:rFonts w:cs="Arial"/>
          <w:sz w:val="22"/>
        </w:rPr>
      </w:pPr>
      <w:r>
        <w:rPr>
          <w:rFonts w:cs="Arial"/>
          <w:sz w:val="22"/>
        </w:rPr>
        <w:t xml:space="preserve">Requests can be booked in by BMA staff on to the Laboratory LIMS systems so results are available via </w:t>
      </w:r>
      <w:proofErr w:type="spellStart"/>
      <w:r>
        <w:rPr>
          <w:rFonts w:cs="Arial"/>
          <w:sz w:val="22"/>
        </w:rPr>
        <w:t>WebV</w:t>
      </w:r>
      <w:proofErr w:type="spellEnd"/>
      <w:r>
        <w:rPr>
          <w:rFonts w:cs="Arial"/>
          <w:sz w:val="22"/>
        </w:rPr>
        <w:t xml:space="preserve"> for clinical staff to view </w:t>
      </w:r>
      <w:proofErr w:type="spellStart"/>
      <w:r>
        <w:rPr>
          <w:rFonts w:cs="Arial"/>
          <w:sz w:val="22"/>
        </w:rPr>
        <w:t>eg</w:t>
      </w:r>
      <w:proofErr w:type="spellEnd"/>
      <w:r>
        <w:rPr>
          <w:rFonts w:cs="Arial"/>
          <w:sz w:val="22"/>
        </w:rPr>
        <w:t xml:space="preserve"> electronic results, improved Governance across ED/UTC Pathology diagnostics. Benefits clinical teams across the trust using </w:t>
      </w:r>
      <w:proofErr w:type="spellStart"/>
      <w:r>
        <w:rPr>
          <w:rFonts w:cs="Arial"/>
          <w:sz w:val="22"/>
        </w:rPr>
        <w:t>WebV</w:t>
      </w:r>
      <w:proofErr w:type="spellEnd"/>
      <w:r>
        <w:rPr>
          <w:rFonts w:cs="Arial"/>
          <w:sz w:val="22"/>
        </w:rPr>
        <w:t xml:space="preserve">. Note on </w:t>
      </w:r>
      <w:proofErr w:type="spellStart"/>
      <w:r>
        <w:rPr>
          <w:rFonts w:cs="Arial"/>
          <w:sz w:val="22"/>
        </w:rPr>
        <w:t>WebV</w:t>
      </w:r>
      <w:proofErr w:type="spellEnd"/>
      <w:r>
        <w:rPr>
          <w:rFonts w:cs="Arial"/>
          <w:sz w:val="22"/>
        </w:rPr>
        <w:t xml:space="preserve"> version 3 Blood Glucose results will be available.</w:t>
      </w:r>
    </w:p>
    <w:p w:rsidR="00701552" w:rsidRDefault="00701552" w:rsidP="00701552">
      <w:pPr>
        <w:ind w:left="360"/>
        <w:jc w:val="both"/>
        <w:rPr>
          <w:rFonts w:cs="Arial"/>
          <w:sz w:val="22"/>
        </w:rPr>
      </w:pPr>
    </w:p>
    <w:p w:rsidR="00701552" w:rsidRDefault="00701552" w:rsidP="00B8621B">
      <w:pPr>
        <w:pStyle w:val="ListParagraph"/>
        <w:numPr>
          <w:ilvl w:val="0"/>
          <w:numId w:val="45"/>
        </w:numPr>
        <w:jc w:val="both"/>
        <w:rPr>
          <w:rFonts w:cs="Arial"/>
          <w:sz w:val="22"/>
        </w:rPr>
      </w:pPr>
      <w:r>
        <w:rPr>
          <w:rFonts w:cs="Arial"/>
          <w:sz w:val="22"/>
        </w:rPr>
        <w:lastRenderedPageBreak/>
        <w:t xml:space="preserve">BMA staff can perform daily IQC and monthly EQA returns on the POCT devices, perform </w:t>
      </w:r>
      <w:proofErr w:type="spellStart"/>
      <w:r>
        <w:rPr>
          <w:rFonts w:cs="Arial"/>
          <w:sz w:val="22"/>
        </w:rPr>
        <w:t>maintainance</w:t>
      </w:r>
      <w:proofErr w:type="spellEnd"/>
      <w:r>
        <w:rPr>
          <w:rFonts w:cs="Arial"/>
          <w:sz w:val="22"/>
        </w:rPr>
        <w:t xml:space="preserve"> procedures and deal with any problems, communicate with the POCT Co-ordinator, Diabetes team and providers.</w:t>
      </w:r>
    </w:p>
    <w:p w:rsidR="00701552" w:rsidRDefault="00701552" w:rsidP="00701552">
      <w:pPr>
        <w:pStyle w:val="ListParagraph"/>
        <w:jc w:val="both"/>
        <w:rPr>
          <w:rFonts w:cs="Arial"/>
          <w:sz w:val="22"/>
        </w:rPr>
      </w:pPr>
    </w:p>
    <w:p w:rsidR="00701552" w:rsidRDefault="00701552" w:rsidP="00B8621B">
      <w:pPr>
        <w:pStyle w:val="ListParagraph"/>
        <w:numPr>
          <w:ilvl w:val="0"/>
          <w:numId w:val="45"/>
        </w:numPr>
        <w:jc w:val="both"/>
        <w:rPr>
          <w:rFonts w:cs="Arial"/>
          <w:sz w:val="22"/>
        </w:rPr>
      </w:pPr>
      <w:r>
        <w:rPr>
          <w:rFonts w:cs="Arial"/>
          <w:sz w:val="22"/>
        </w:rPr>
        <w:t>BMA staff trained to perform phlebotomy, providing support for clinical staff within ED/UTC</w:t>
      </w:r>
    </w:p>
    <w:p w:rsidR="00701552" w:rsidRDefault="00701552" w:rsidP="00701552">
      <w:pPr>
        <w:pStyle w:val="ListParagraph"/>
        <w:rPr>
          <w:rFonts w:cs="Arial"/>
          <w:sz w:val="22"/>
        </w:rPr>
      </w:pPr>
    </w:p>
    <w:p w:rsidR="00701552" w:rsidRDefault="00701552" w:rsidP="00B8621B">
      <w:pPr>
        <w:pStyle w:val="ListParagraph"/>
        <w:numPr>
          <w:ilvl w:val="0"/>
          <w:numId w:val="45"/>
        </w:numPr>
        <w:jc w:val="both"/>
        <w:rPr>
          <w:rFonts w:cs="Arial"/>
          <w:sz w:val="22"/>
        </w:rPr>
      </w:pPr>
      <w:r>
        <w:rPr>
          <w:rFonts w:cs="Arial"/>
          <w:sz w:val="22"/>
        </w:rPr>
        <w:t>Provision of two Phlebotomy staff to support both ED and UTC areas, need to review the work up around foot fall into both departments.</w:t>
      </w:r>
    </w:p>
    <w:p w:rsidR="00701552" w:rsidRDefault="00701552" w:rsidP="00701552">
      <w:pPr>
        <w:pStyle w:val="ListParagraph"/>
        <w:rPr>
          <w:rFonts w:cs="Arial"/>
          <w:sz w:val="22"/>
        </w:rPr>
      </w:pPr>
    </w:p>
    <w:p w:rsidR="00701552" w:rsidRDefault="00701552" w:rsidP="00B8621B">
      <w:pPr>
        <w:pStyle w:val="ListParagraph"/>
        <w:numPr>
          <w:ilvl w:val="0"/>
          <w:numId w:val="45"/>
        </w:numPr>
        <w:rPr>
          <w:rFonts w:cs="Arial"/>
          <w:sz w:val="22"/>
        </w:rPr>
      </w:pPr>
      <w:r>
        <w:rPr>
          <w:rFonts w:cs="Arial"/>
          <w:sz w:val="22"/>
        </w:rPr>
        <w:t>Phlebotomy training within both areas, based around the needle and holder method, butterflies and cannula draws taken from Major/</w:t>
      </w:r>
      <w:proofErr w:type="spellStart"/>
      <w:r>
        <w:rPr>
          <w:rFonts w:cs="Arial"/>
          <w:sz w:val="22"/>
        </w:rPr>
        <w:t>Rheus</w:t>
      </w:r>
      <w:proofErr w:type="spellEnd"/>
      <w:r>
        <w:rPr>
          <w:rFonts w:cs="Arial"/>
          <w:sz w:val="22"/>
        </w:rPr>
        <w:t xml:space="preserve"> patients only,  </w:t>
      </w:r>
    </w:p>
    <w:p w:rsidR="00701552" w:rsidRDefault="00701552" w:rsidP="00701552">
      <w:pPr>
        <w:pStyle w:val="ListParagraph"/>
        <w:ind w:left="1440"/>
        <w:rPr>
          <w:rFonts w:cs="Arial"/>
          <w:sz w:val="22"/>
        </w:rPr>
      </w:pPr>
    </w:p>
    <w:p w:rsidR="00701552" w:rsidRDefault="00701552" w:rsidP="00B8621B">
      <w:pPr>
        <w:pStyle w:val="ListParagraph"/>
        <w:numPr>
          <w:ilvl w:val="0"/>
          <w:numId w:val="45"/>
        </w:numPr>
        <w:rPr>
          <w:rFonts w:cs="Arial"/>
          <w:sz w:val="22"/>
        </w:rPr>
      </w:pPr>
      <w:r>
        <w:rPr>
          <w:rFonts w:cs="Arial"/>
          <w:sz w:val="22"/>
        </w:rPr>
        <w:t>Bottle collection system provider can provide additional training as part of current Pathology Collection System tender.</w:t>
      </w:r>
    </w:p>
    <w:p w:rsidR="00701552" w:rsidRDefault="00701552" w:rsidP="00701552">
      <w:pPr>
        <w:pStyle w:val="ListParagraph"/>
        <w:rPr>
          <w:rFonts w:cs="Arial"/>
          <w:sz w:val="22"/>
        </w:rPr>
      </w:pPr>
    </w:p>
    <w:p w:rsidR="00701552" w:rsidRDefault="00701552" w:rsidP="00B8621B">
      <w:pPr>
        <w:pStyle w:val="ListParagraph"/>
        <w:numPr>
          <w:ilvl w:val="0"/>
          <w:numId w:val="45"/>
        </w:numPr>
        <w:jc w:val="both"/>
        <w:rPr>
          <w:rFonts w:cs="Arial"/>
          <w:sz w:val="22"/>
        </w:rPr>
      </w:pPr>
      <w:r>
        <w:rPr>
          <w:rFonts w:cs="Arial"/>
          <w:sz w:val="22"/>
        </w:rPr>
        <w:t xml:space="preserve">Standard Operating Procedures (SOP) for the BMA to follow to provide a </w:t>
      </w:r>
      <w:proofErr w:type="spellStart"/>
      <w:r>
        <w:rPr>
          <w:rFonts w:cs="Arial"/>
          <w:sz w:val="22"/>
        </w:rPr>
        <w:t>consistant</w:t>
      </w:r>
      <w:proofErr w:type="spellEnd"/>
      <w:r>
        <w:rPr>
          <w:rFonts w:cs="Arial"/>
          <w:sz w:val="22"/>
        </w:rPr>
        <w:t xml:space="preserve"> approach to ED/UTC POCT.</w:t>
      </w:r>
    </w:p>
    <w:p w:rsidR="00701552" w:rsidRDefault="00701552" w:rsidP="00701552">
      <w:pPr>
        <w:jc w:val="both"/>
        <w:rPr>
          <w:rFonts w:cs="Arial"/>
          <w:sz w:val="22"/>
        </w:rPr>
      </w:pPr>
    </w:p>
    <w:p w:rsidR="00701552" w:rsidRDefault="00701552" w:rsidP="00701552">
      <w:pPr>
        <w:pStyle w:val="ListParagraph"/>
        <w:autoSpaceDE w:val="0"/>
        <w:autoSpaceDN w:val="0"/>
        <w:adjustRightInd w:val="0"/>
        <w:ind w:left="360"/>
        <w:rPr>
          <w:rFonts w:cs="Arial"/>
          <w:color w:val="000000"/>
          <w:sz w:val="22"/>
        </w:rPr>
      </w:pPr>
    </w:p>
    <w:p w:rsidR="00701552" w:rsidRDefault="00701552" w:rsidP="00701552">
      <w:pPr>
        <w:pStyle w:val="ListParagraph"/>
        <w:autoSpaceDE w:val="0"/>
        <w:autoSpaceDN w:val="0"/>
        <w:adjustRightInd w:val="0"/>
        <w:ind w:left="360"/>
        <w:rPr>
          <w:rFonts w:cs="Arial"/>
          <w:b/>
          <w:color w:val="000000"/>
          <w:sz w:val="22"/>
        </w:rPr>
      </w:pPr>
      <w:r>
        <w:rPr>
          <w:rFonts w:cs="Arial"/>
          <w:b/>
          <w:color w:val="000000"/>
          <w:sz w:val="22"/>
        </w:rPr>
        <w:t>Option 3</w:t>
      </w:r>
    </w:p>
    <w:p w:rsidR="00701552" w:rsidRDefault="00701552" w:rsidP="00701552">
      <w:pPr>
        <w:pStyle w:val="ListParagraph"/>
        <w:autoSpaceDE w:val="0"/>
        <w:autoSpaceDN w:val="0"/>
        <w:adjustRightInd w:val="0"/>
        <w:ind w:left="360"/>
        <w:rPr>
          <w:rFonts w:cs="Arial"/>
          <w:color w:val="000000"/>
          <w:sz w:val="22"/>
        </w:rPr>
      </w:pPr>
    </w:p>
    <w:p w:rsidR="00701552" w:rsidRDefault="00701552" w:rsidP="00701552">
      <w:pPr>
        <w:ind w:left="360"/>
        <w:rPr>
          <w:rFonts w:cs="Arial"/>
          <w:sz w:val="22"/>
        </w:rPr>
      </w:pPr>
      <w:proofErr w:type="spellStart"/>
      <w:r>
        <w:rPr>
          <w:rFonts w:cs="Arial"/>
          <w:sz w:val="22"/>
        </w:rPr>
        <w:t>Ultilise</w:t>
      </w:r>
      <w:proofErr w:type="spellEnd"/>
      <w:r>
        <w:rPr>
          <w:rFonts w:cs="Arial"/>
          <w:sz w:val="22"/>
        </w:rPr>
        <w:t xml:space="preserve"> the onsite Path Links Laboratory, addition </w:t>
      </w:r>
      <w:proofErr w:type="gramStart"/>
      <w:r>
        <w:rPr>
          <w:rFonts w:cs="Arial"/>
          <w:sz w:val="22"/>
        </w:rPr>
        <w:t xml:space="preserve">of </w:t>
      </w:r>
      <w:r>
        <w:rPr>
          <w:rFonts w:cs="Arial"/>
          <w:color w:val="000000"/>
          <w:sz w:val="22"/>
        </w:rPr>
        <w:t xml:space="preserve"> 2</w:t>
      </w:r>
      <w:proofErr w:type="gramEnd"/>
      <w:r>
        <w:rPr>
          <w:rFonts w:cs="Arial"/>
          <w:color w:val="000000"/>
          <w:sz w:val="22"/>
        </w:rPr>
        <w:t xml:space="preserve"> x Phlebotomist and 1 Porter</w:t>
      </w:r>
      <w:r>
        <w:rPr>
          <w:rFonts w:cs="Arial"/>
          <w:sz w:val="22"/>
        </w:rPr>
        <w:t xml:space="preserve"> with the ED/UTC.</w:t>
      </w:r>
    </w:p>
    <w:p w:rsidR="00701552" w:rsidRDefault="00701552" w:rsidP="00701552">
      <w:pPr>
        <w:ind w:firstLine="360"/>
        <w:rPr>
          <w:rFonts w:cs="Arial"/>
          <w:sz w:val="22"/>
        </w:rPr>
      </w:pPr>
    </w:p>
    <w:p w:rsidR="00701552" w:rsidRDefault="00701552" w:rsidP="00701552">
      <w:pPr>
        <w:ind w:firstLine="360"/>
        <w:rPr>
          <w:rFonts w:cs="Arial"/>
          <w:sz w:val="22"/>
        </w:rPr>
      </w:pPr>
      <w:r>
        <w:rPr>
          <w:rFonts w:cs="Arial"/>
          <w:sz w:val="22"/>
        </w:rPr>
        <w:t>This option</w:t>
      </w:r>
      <w:proofErr w:type="gramStart"/>
      <w:r>
        <w:rPr>
          <w:rFonts w:cs="Arial"/>
          <w:sz w:val="22"/>
        </w:rPr>
        <w:t>,  working</w:t>
      </w:r>
      <w:proofErr w:type="gramEnd"/>
      <w:r>
        <w:rPr>
          <w:rFonts w:cs="Arial"/>
          <w:sz w:val="22"/>
        </w:rPr>
        <w:t xml:space="preserve"> around our KPI of 60 minutes for ED samples, </w:t>
      </w:r>
    </w:p>
    <w:p w:rsidR="00701552" w:rsidRDefault="00701552" w:rsidP="00701552">
      <w:pPr>
        <w:ind w:firstLine="360"/>
        <w:rPr>
          <w:rFonts w:cs="Arial"/>
          <w:sz w:val="22"/>
        </w:rPr>
      </w:pPr>
    </w:p>
    <w:p w:rsidR="00701552" w:rsidRDefault="00701552" w:rsidP="00B8621B">
      <w:pPr>
        <w:pStyle w:val="ListParagraph"/>
        <w:numPr>
          <w:ilvl w:val="0"/>
          <w:numId w:val="46"/>
        </w:numPr>
        <w:rPr>
          <w:rFonts w:cs="Arial"/>
          <w:sz w:val="22"/>
        </w:rPr>
      </w:pPr>
      <w:proofErr w:type="spellStart"/>
      <w:r>
        <w:rPr>
          <w:rFonts w:cs="Arial"/>
          <w:sz w:val="22"/>
        </w:rPr>
        <w:t>Clincical</w:t>
      </w:r>
      <w:proofErr w:type="spellEnd"/>
      <w:r>
        <w:rPr>
          <w:rFonts w:cs="Arial"/>
          <w:sz w:val="22"/>
        </w:rPr>
        <w:t xml:space="preserve"> staff maintain current processes for POCT. </w:t>
      </w:r>
    </w:p>
    <w:p w:rsidR="00701552" w:rsidRDefault="00701552" w:rsidP="00701552">
      <w:pPr>
        <w:pStyle w:val="ListParagraph"/>
        <w:ind w:left="1440"/>
        <w:rPr>
          <w:rFonts w:cs="Arial"/>
          <w:sz w:val="22"/>
        </w:rPr>
      </w:pPr>
      <w:r>
        <w:rPr>
          <w:rFonts w:cs="Arial"/>
          <w:sz w:val="22"/>
        </w:rPr>
        <w:t xml:space="preserve"> </w:t>
      </w:r>
    </w:p>
    <w:p w:rsidR="00701552" w:rsidRDefault="00701552" w:rsidP="00B8621B">
      <w:pPr>
        <w:pStyle w:val="ListParagraph"/>
        <w:numPr>
          <w:ilvl w:val="0"/>
          <w:numId w:val="46"/>
        </w:numPr>
        <w:rPr>
          <w:rFonts w:cs="Arial"/>
          <w:sz w:val="22"/>
        </w:rPr>
      </w:pPr>
      <w:r>
        <w:rPr>
          <w:rFonts w:cs="Arial"/>
          <w:sz w:val="22"/>
        </w:rPr>
        <w:t>Phlebotomy training within both areas, based around the needle and holder method, butterflies and cannula draws taken from Major/</w:t>
      </w:r>
      <w:proofErr w:type="spellStart"/>
      <w:r>
        <w:rPr>
          <w:rFonts w:cs="Arial"/>
          <w:sz w:val="22"/>
        </w:rPr>
        <w:t>Rheus</w:t>
      </w:r>
      <w:proofErr w:type="spellEnd"/>
      <w:r>
        <w:rPr>
          <w:rFonts w:cs="Arial"/>
          <w:sz w:val="22"/>
        </w:rPr>
        <w:t xml:space="preserve"> patients only,  </w:t>
      </w:r>
    </w:p>
    <w:p w:rsidR="00701552" w:rsidRDefault="00701552" w:rsidP="00701552">
      <w:pPr>
        <w:pStyle w:val="ListParagraph"/>
        <w:ind w:left="1440"/>
        <w:rPr>
          <w:rFonts w:cs="Arial"/>
          <w:sz w:val="22"/>
        </w:rPr>
      </w:pPr>
    </w:p>
    <w:p w:rsidR="00701552" w:rsidRDefault="00701552" w:rsidP="00B8621B">
      <w:pPr>
        <w:pStyle w:val="ListParagraph"/>
        <w:numPr>
          <w:ilvl w:val="0"/>
          <w:numId w:val="46"/>
        </w:numPr>
        <w:rPr>
          <w:rFonts w:cs="Arial"/>
          <w:sz w:val="22"/>
        </w:rPr>
      </w:pPr>
      <w:r>
        <w:rPr>
          <w:rFonts w:cs="Arial"/>
          <w:sz w:val="22"/>
        </w:rPr>
        <w:t>Bottle collection system provider can provide additional training as part of current Pathology Collection System tender.</w:t>
      </w:r>
    </w:p>
    <w:p w:rsidR="00701552" w:rsidRDefault="00701552" w:rsidP="00701552">
      <w:pPr>
        <w:pStyle w:val="ListParagraph"/>
        <w:ind w:left="1440"/>
        <w:rPr>
          <w:rFonts w:cs="Arial"/>
          <w:sz w:val="22"/>
        </w:rPr>
      </w:pPr>
    </w:p>
    <w:p w:rsidR="00701552" w:rsidRDefault="00701552" w:rsidP="00B8621B">
      <w:pPr>
        <w:pStyle w:val="ListParagraph"/>
        <w:numPr>
          <w:ilvl w:val="0"/>
          <w:numId w:val="46"/>
        </w:numPr>
        <w:rPr>
          <w:rFonts w:cs="Arial"/>
          <w:sz w:val="22"/>
        </w:rPr>
      </w:pPr>
      <w:r>
        <w:rPr>
          <w:rFonts w:cs="Arial"/>
          <w:sz w:val="22"/>
        </w:rPr>
        <w:t>Addition of a dual air tube system with units positioned within both the new ED and UTC.</w:t>
      </w:r>
    </w:p>
    <w:p w:rsidR="00701552" w:rsidRDefault="00701552" w:rsidP="00701552">
      <w:pPr>
        <w:pStyle w:val="ListParagraph"/>
        <w:ind w:left="1440"/>
        <w:rPr>
          <w:rFonts w:cs="Arial"/>
          <w:sz w:val="22"/>
        </w:rPr>
      </w:pPr>
    </w:p>
    <w:p w:rsidR="00701552" w:rsidRDefault="00701552" w:rsidP="00B8621B">
      <w:pPr>
        <w:pStyle w:val="ListParagraph"/>
        <w:numPr>
          <w:ilvl w:val="0"/>
          <w:numId w:val="46"/>
        </w:numPr>
        <w:rPr>
          <w:rFonts w:cs="Arial"/>
          <w:sz w:val="22"/>
        </w:rPr>
      </w:pPr>
      <w:proofErr w:type="spellStart"/>
      <w:r>
        <w:rPr>
          <w:rFonts w:cs="Arial"/>
          <w:sz w:val="22"/>
        </w:rPr>
        <w:t>Portering</w:t>
      </w:r>
      <w:proofErr w:type="spellEnd"/>
      <w:r>
        <w:rPr>
          <w:rFonts w:cs="Arial"/>
          <w:sz w:val="22"/>
        </w:rPr>
        <w:t xml:space="preserve"> provision for the ED/UTC area, provide backup when </w:t>
      </w:r>
      <w:proofErr w:type="spellStart"/>
      <w:r>
        <w:rPr>
          <w:rFonts w:cs="Arial"/>
          <w:sz w:val="22"/>
        </w:rPr>
        <w:t>lost</w:t>
      </w:r>
      <w:proofErr w:type="spellEnd"/>
      <w:r>
        <w:rPr>
          <w:rFonts w:cs="Arial"/>
          <w:sz w:val="22"/>
        </w:rPr>
        <w:t xml:space="preserve"> of air tube system to transport samples to the onsite </w:t>
      </w:r>
      <w:proofErr w:type="spellStart"/>
      <w:r>
        <w:rPr>
          <w:rFonts w:cs="Arial"/>
          <w:sz w:val="22"/>
        </w:rPr>
        <w:t>labvoratory</w:t>
      </w:r>
      <w:proofErr w:type="spellEnd"/>
      <w:r>
        <w:rPr>
          <w:rFonts w:cs="Arial"/>
          <w:sz w:val="22"/>
        </w:rPr>
        <w:t>.</w:t>
      </w:r>
    </w:p>
    <w:p w:rsidR="00701552" w:rsidRDefault="00701552" w:rsidP="00701552">
      <w:pPr>
        <w:pStyle w:val="ListParagraph"/>
        <w:rPr>
          <w:rFonts w:cs="Arial"/>
          <w:sz w:val="22"/>
        </w:rPr>
      </w:pPr>
    </w:p>
    <w:p w:rsidR="00701552" w:rsidRDefault="00701552" w:rsidP="00B8621B">
      <w:pPr>
        <w:pStyle w:val="ListParagraph"/>
        <w:numPr>
          <w:ilvl w:val="0"/>
          <w:numId w:val="46"/>
        </w:numPr>
        <w:rPr>
          <w:rFonts w:cs="Arial"/>
          <w:sz w:val="22"/>
        </w:rPr>
      </w:pPr>
      <w:r>
        <w:rPr>
          <w:rFonts w:cs="Arial"/>
          <w:sz w:val="22"/>
        </w:rPr>
        <w:t>Key is the 15 minute window from vein to laboratory reception</w:t>
      </w:r>
      <w:proofErr w:type="gramStart"/>
      <w:r>
        <w:rPr>
          <w:rFonts w:cs="Arial"/>
          <w:sz w:val="22"/>
        </w:rPr>
        <w:t>,  would</w:t>
      </w:r>
      <w:proofErr w:type="gramEnd"/>
      <w:r>
        <w:rPr>
          <w:rFonts w:cs="Arial"/>
          <w:sz w:val="22"/>
        </w:rPr>
        <w:t xml:space="preserve"> require regular auditing to highlight any delay’s.</w:t>
      </w:r>
    </w:p>
    <w:p w:rsidR="00701552" w:rsidRDefault="00701552" w:rsidP="00701552">
      <w:pPr>
        <w:pStyle w:val="ListParagraph"/>
        <w:rPr>
          <w:rFonts w:cs="Arial"/>
          <w:sz w:val="22"/>
        </w:rPr>
      </w:pPr>
    </w:p>
    <w:p w:rsidR="00701552" w:rsidRDefault="00701552" w:rsidP="00B8621B">
      <w:pPr>
        <w:pStyle w:val="ListParagraph"/>
        <w:numPr>
          <w:ilvl w:val="0"/>
          <w:numId w:val="46"/>
        </w:numPr>
        <w:jc w:val="both"/>
        <w:rPr>
          <w:rFonts w:cs="Arial"/>
          <w:sz w:val="22"/>
        </w:rPr>
      </w:pPr>
      <w:r>
        <w:rPr>
          <w:rFonts w:cs="Arial"/>
          <w:sz w:val="22"/>
        </w:rPr>
        <w:t>Provision of two Phlebotomy staff to support both ED and UTC areas, need to review the work up around foot fall into both departments.</w:t>
      </w:r>
    </w:p>
    <w:p w:rsidR="00701552" w:rsidRDefault="00701552" w:rsidP="00701552">
      <w:pPr>
        <w:pStyle w:val="ListParagraph"/>
        <w:rPr>
          <w:rFonts w:cs="Arial"/>
          <w:sz w:val="22"/>
        </w:rPr>
      </w:pPr>
    </w:p>
    <w:p w:rsidR="00701552" w:rsidRDefault="00701552" w:rsidP="00B8621B">
      <w:pPr>
        <w:pStyle w:val="ListParagraph"/>
        <w:numPr>
          <w:ilvl w:val="0"/>
          <w:numId w:val="46"/>
        </w:numPr>
        <w:jc w:val="both"/>
        <w:rPr>
          <w:rFonts w:cs="Arial"/>
          <w:sz w:val="22"/>
        </w:rPr>
      </w:pPr>
      <w:r>
        <w:rPr>
          <w:rFonts w:cs="Arial"/>
          <w:sz w:val="22"/>
        </w:rPr>
        <w:t>Continue performing Blood Gases, Blood Glucose and Ketones and RDT POCT for pregnancy and Urine dipstick POCT within ED.</w:t>
      </w:r>
    </w:p>
    <w:p w:rsidR="00701552" w:rsidRDefault="00701552" w:rsidP="00701552">
      <w:pPr>
        <w:ind w:left="360"/>
        <w:rPr>
          <w:rFonts w:cs="Arial"/>
          <w:sz w:val="22"/>
        </w:rPr>
      </w:pPr>
    </w:p>
    <w:p w:rsidR="00701552" w:rsidRDefault="00701552" w:rsidP="00701552">
      <w:pPr>
        <w:ind w:left="360"/>
        <w:rPr>
          <w:rFonts w:cs="Arial"/>
          <w:sz w:val="22"/>
        </w:rPr>
      </w:pPr>
      <w:r>
        <w:rPr>
          <w:rFonts w:cs="Arial"/>
          <w:sz w:val="22"/>
        </w:rPr>
        <w:lastRenderedPageBreak/>
        <w:t xml:space="preserve">Solution based on improving the quality and </w:t>
      </w:r>
      <w:proofErr w:type="spellStart"/>
      <w:r>
        <w:rPr>
          <w:rFonts w:cs="Arial"/>
          <w:sz w:val="22"/>
        </w:rPr>
        <w:t>turn around</w:t>
      </w:r>
      <w:proofErr w:type="spellEnd"/>
      <w:r>
        <w:rPr>
          <w:rFonts w:cs="Arial"/>
          <w:sz w:val="22"/>
        </w:rPr>
        <w:t xml:space="preserve"> of samples into the site based pathology laboratory, looking at Phlebotomy and Sample transport (air tube/porters) across ED/UTC.</w:t>
      </w:r>
    </w:p>
    <w:p w:rsidR="00701552" w:rsidRDefault="00701552" w:rsidP="00701552">
      <w:pPr>
        <w:autoSpaceDE w:val="0"/>
        <w:autoSpaceDN w:val="0"/>
        <w:adjustRightInd w:val="0"/>
        <w:ind w:firstLine="360"/>
        <w:rPr>
          <w:rFonts w:cs="Arial"/>
          <w:b/>
          <w:color w:val="000000"/>
          <w:sz w:val="22"/>
        </w:rPr>
      </w:pPr>
      <w:r>
        <w:rPr>
          <w:rFonts w:cs="Arial"/>
          <w:b/>
          <w:color w:val="000000"/>
          <w:sz w:val="22"/>
        </w:rPr>
        <w:t>Potential POCT Solutions</w:t>
      </w:r>
    </w:p>
    <w:p w:rsidR="00701552" w:rsidRDefault="00701552" w:rsidP="00701552">
      <w:pPr>
        <w:pStyle w:val="ListParagraph"/>
        <w:autoSpaceDE w:val="0"/>
        <w:autoSpaceDN w:val="0"/>
        <w:adjustRightInd w:val="0"/>
        <w:ind w:left="360"/>
        <w:rPr>
          <w:rFonts w:cs="Arial"/>
          <w:color w:val="000000"/>
          <w:sz w:val="22"/>
        </w:rPr>
      </w:pPr>
    </w:p>
    <w:p w:rsidR="00701552" w:rsidRDefault="00701552" w:rsidP="00701552">
      <w:pPr>
        <w:pStyle w:val="ListParagraph"/>
        <w:autoSpaceDE w:val="0"/>
        <w:autoSpaceDN w:val="0"/>
        <w:adjustRightInd w:val="0"/>
        <w:ind w:hanging="360"/>
        <w:rPr>
          <w:rFonts w:cs="Arial"/>
          <w:color w:val="000000"/>
          <w:sz w:val="22"/>
        </w:rPr>
      </w:pPr>
    </w:p>
    <w:p w:rsidR="00701552" w:rsidRDefault="00701552" w:rsidP="00B8621B">
      <w:pPr>
        <w:pStyle w:val="ListParagraph"/>
        <w:numPr>
          <w:ilvl w:val="0"/>
          <w:numId w:val="47"/>
        </w:numPr>
        <w:autoSpaceDE w:val="0"/>
        <w:autoSpaceDN w:val="0"/>
        <w:adjustRightInd w:val="0"/>
        <w:rPr>
          <w:rFonts w:cs="Arial"/>
          <w:color w:val="000000"/>
          <w:sz w:val="22"/>
        </w:rPr>
      </w:pPr>
      <w:r>
        <w:rPr>
          <w:rFonts w:cs="Arial"/>
          <w:color w:val="000000"/>
          <w:sz w:val="22"/>
        </w:rPr>
        <w:t>Troponin POCT</w:t>
      </w:r>
    </w:p>
    <w:p w:rsidR="00701552" w:rsidRDefault="00701552" w:rsidP="00701552">
      <w:pPr>
        <w:pStyle w:val="ListParagraph"/>
        <w:autoSpaceDE w:val="0"/>
        <w:autoSpaceDN w:val="0"/>
        <w:adjustRightInd w:val="0"/>
        <w:ind w:hanging="360"/>
        <w:rPr>
          <w:rFonts w:cs="Arial"/>
          <w:color w:val="000000"/>
          <w:sz w:val="22"/>
        </w:rPr>
      </w:pPr>
    </w:p>
    <w:p w:rsidR="00701552" w:rsidRDefault="00701552" w:rsidP="00701552">
      <w:pPr>
        <w:pStyle w:val="ListParagraph"/>
        <w:autoSpaceDE w:val="0"/>
        <w:autoSpaceDN w:val="0"/>
        <w:adjustRightInd w:val="0"/>
        <w:ind w:left="360"/>
        <w:jc w:val="both"/>
        <w:rPr>
          <w:rFonts w:cs="Arial"/>
          <w:sz w:val="22"/>
        </w:rPr>
      </w:pPr>
      <w:r>
        <w:rPr>
          <w:rFonts w:cs="Arial"/>
          <w:sz w:val="22"/>
        </w:rPr>
        <w:t xml:space="preserve">Contacted ULHT Cardiology, Dr </w:t>
      </w:r>
      <w:r w:rsidR="00336A14" w:rsidRPr="00336A14">
        <w:rPr>
          <w:rFonts w:cs="Arial"/>
          <w:sz w:val="22"/>
          <w:highlight w:val="black"/>
        </w:rPr>
        <w:t>XXXXXXXXXXXX</w:t>
      </w:r>
      <w:r>
        <w:rPr>
          <w:rFonts w:cs="Arial"/>
          <w:sz w:val="22"/>
        </w:rPr>
        <w:t xml:space="preserve"> Consultant Cardiologist and </w:t>
      </w:r>
      <w:r w:rsidR="00336A14" w:rsidRPr="00336A14">
        <w:rPr>
          <w:rFonts w:cs="Arial"/>
          <w:sz w:val="22"/>
          <w:highlight w:val="black"/>
        </w:rPr>
        <w:t>XXXXXXXX</w:t>
      </w:r>
      <w:r>
        <w:rPr>
          <w:rFonts w:cs="Arial"/>
          <w:sz w:val="22"/>
        </w:rPr>
        <w:t xml:space="preserve"> Consultant Nurse Cardiology/ Associate Chief Nurse (NMP), Cardiology</w:t>
      </w:r>
    </w:p>
    <w:p w:rsidR="00701552" w:rsidRDefault="00701552" w:rsidP="00701552">
      <w:pPr>
        <w:pStyle w:val="ListParagraph"/>
        <w:autoSpaceDE w:val="0"/>
        <w:autoSpaceDN w:val="0"/>
        <w:adjustRightInd w:val="0"/>
        <w:ind w:left="360"/>
        <w:rPr>
          <w:rFonts w:cs="Arial"/>
          <w:color w:val="000000"/>
          <w:sz w:val="22"/>
        </w:rPr>
      </w:pPr>
    </w:p>
    <w:p w:rsidR="00701552" w:rsidRDefault="00701552" w:rsidP="00701552">
      <w:pPr>
        <w:pStyle w:val="ListParagraph"/>
        <w:autoSpaceDE w:val="0"/>
        <w:autoSpaceDN w:val="0"/>
        <w:adjustRightInd w:val="0"/>
        <w:ind w:left="360"/>
        <w:rPr>
          <w:rFonts w:cs="Arial"/>
          <w:color w:val="000000"/>
          <w:sz w:val="22"/>
        </w:rPr>
      </w:pPr>
      <w:r>
        <w:rPr>
          <w:rFonts w:cs="Arial"/>
          <w:color w:val="000000"/>
          <w:sz w:val="22"/>
        </w:rPr>
        <w:t xml:space="preserve">The </w:t>
      </w:r>
      <w:proofErr w:type="spellStart"/>
      <w:r>
        <w:rPr>
          <w:rFonts w:cs="Arial"/>
          <w:color w:val="000000"/>
          <w:sz w:val="22"/>
        </w:rPr>
        <w:t>sensivity</w:t>
      </w:r>
      <w:proofErr w:type="spellEnd"/>
      <w:r>
        <w:rPr>
          <w:rFonts w:cs="Arial"/>
          <w:color w:val="000000"/>
          <w:sz w:val="22"/>
        </w:rPr>
        <w:t xml:space="preserve"> and the specificity is not high enough to use within the ED/UTC environment and would not meet the Trust Cardiology guidelines for assessment of acute chest pain of possible origin.</w:t>
      </w:r>
    </w:p>
    <w:p w:rsidR="00701552" w:rsidRDefault="00701552" w:rsidP="00701552">
      <w:pPr>
        <w:pStyle w:val="ListParagraph"/>
        <w:autoSpaceDE w:val="0"/>
        <w:autoSpaceDN w:val="0"/>
        <w:adjustRightInd w:val="0"/>
        <w:ind w:left="360"/>
        <w:rPr>
          <w:rFonts w:cs="Arial"/>
          <w:color w:val="000000"/>
          <w:sz w:val="22"/>
        </w:rPr>
      </w:pPr>
      <w:r>
        <w:rPr>
          <w:rFonts w:cs="Arial"/>
          <w:color w:val="000000"/>
          <w:sz w:val="22"/>
        </w:rPr>
        <w:t xml:space="preserve"> </w:t>
      </w:r>
    </w:p>
    <w:p w:rsidR="00701552" w:rsidRDefault="00701552" w:rsidP="00701552">
      <w:pPr>
        <w:pStyle w:val="ListParagraph"/>
        <w:autoSpaceDE w:val="0"/>
        <w:autoSpaceDN w:val="0"/>
        <w:adjustRightInd w:val="0"/>
        <w:ind w:left="360"/>
        <w:rPr>
          <w:rFonts w:cs="Arial"/>
          <w:color w:val="000000"/>
          <w:sz w:val="22"/>
        </w:rPr>
      </w:pPr>
      <w:r>
        <w:rPr>
          <w:rFonts w:cs="Arial"/>
          <w:color w:val="000000"/>
          <w:sz w:val="22"/>
        </w:rPr>
        <w:t>Note the sensitivity is the ability of a test to correctly identify those with the disease (true positive rate), whereas test specificity is the ability of the test to correctly identify those without the disease (true negative rate).</w:t>
      </w:r>
    </w:p>
    <w:p w:rsidR="00701552" w:rsidRDefault="00701552" w:rsidP="00701552">
      <w:pPr>
        <w:pStyle w:val="ListParagraph"/>
        <w:autoSpaceDE w:val="0"/>
        <w:autoSpaceDN w:val="0"/>
        <w:adjustRightInd w:val="0"/>
        <w:ind w:left="360"/>
        <w:rPr>
          <w:rFonts w:cs="Arial"/>
          <w:color w:val="000000"/>
          <w:sz w:val="22"/>
        </w:rPr>
      </w:pPr>
    </w:p>
    <w:p w:rsidR="00701552" w:rsidRDefault="00701552" w:rsidP="00701552">
      <w:pPr>
        <w:pStyle w:val="ListParagraph"/>
        <w:autoSpaceDE w:val="0"/>
        <w:autoSpaceDN w:val="0"/>
        <w:adjustRightInd w:val="0"/>
        <w:ind w:left="360"/>
        <w:rPr>
          <w:rFonts w:cs="Arial"/>
          <w:color w:val="000000"/>
          <w:sz w:val="22"/>
        </w:rPr>
      </w:pPr>
      <w:r>
        <w:rPr>
          <w:rFonts w:cs="Arial"/>
          <w:color w:val="000000"/>
          <w:sz w:val="22"/>
        </w:rPr>
        <w:t>ULHT Cardiology are working on new chest pain guidelines for the Trust that will include moving to single early troponins completed at 2 hours post pain presentation. This will reduce the time to result by 2/3rds due to a single test instead of multiples.</w:t>
      </w:r>
    </w:p>
    <w:p w:rsidR="00701552" w:rsidRDefault="00701552" w:rsidP="00701552">
      <w:pPr>
        <w:pStyle w:val="ListParagraph"/>
        <w:autoSpaceDE w:val="0"/>
        <w:autoSpaceDN w:val="0"/>
        <w:adjustRightInd w:val="0"/>
        <w:ind w:left="360"/>
        <w:rPr>
          <w:rFonts w:cs="Arial"/>
          <w:color w:val="000000"/>
          <w:sz w:val="22"/>
        </w:rPr>
      </w:pPr>
    </w:p>
    <w:p w:rsidR="00701552" w:rsidRDefault="00701552" w:rsidP="00B8621B">
      <w:pPr>
        <w:pStyle w:val="ListParagraph"/>
        <w:numPr>
          <w:ilvl w:val="0"/>
          <w:numId w:val="47"/>
        </w:numPr>
        <w:autoSpaceDE w:val="0"/>
        <w:autoSpaceDN w:val="0"/>
        <w:adjustRightInd w:val="0"/>
        <w:rPr>
          <w:rFonts w:cs="Arial"/>
          <w:color w:val="000000"/>
          <w:sz w:val="22"/>
        </w:rPr>
      </w:pPr>
      <w:r>
        <w:rPr>
          <w:rFonts w:cs="Arial"/>
          <w:color w:val="000000"/>
          <w:sz w:val="22"/>
        </w:rPr>
        <w:t>BNP POCT</w:t>
      </w:r>
    </w:p>
    <w:p w:rsidR="00701552" w:rsidRDefault="00701552" w:rsidP="00701552">
      <w:pPr>
        <w:pStyle w:val="ListParagraph"/>
        <w:autoSpaceDE w:val="0"/>
        <w:autoSpaceDN w:val="0"/>
        <w:adjustRightInd w:val="0"/>
        <w:ind w:left="360"/>
        <w:rPr>
          <w:rFonts w:cs="Arial"/>
          <w:color w:val="000000"/>
          <w:sz w:val="22"/>
        </w:rPr>
      </w:pPr>
    </w:p>
    <w:p w:rsidR="00701552" w:rsidRDefault="00701552" w:rsidP="00701552">
      <w:pPr>
        <w:pStyle w:val="ListParagraph"/>
        <w:autoSpaceDE w:val="0"/>
        <w:autoSpaceDN w:val="0"/>
        <w:adjustRightInd w:val="0"/>
        <w:ind w:left="360"/>
        <w:jc w:val="both"/>
        <w:rPr>
          <w:rFonts w:cs="Arial"/>
          <w:sz w:val="22"/>
        </w:rPr>
      </w:pPr>
      <w:r>
        <w:rPr>
          <w:rFonts w:cs="Arial"/>
          <w:sz w:val="22"/>
        </w:rPr>
        <w:t xml:space="preserve">Contacted ULHT Cardiology, Dr </w:t>
      </w:r>
      <w:r w:rsidR="00336A14" w:rsidRPr="00336A14">
        <w:rPr>
          <w:rFonts w:cs="Arial"/>
          <w:sz w:val="22"/>
          <w:highlight w:val="black"/>
        </w:rPr>
        <w:t>XXXX</w:t>
      </w:r>
      <w:r w:rsidR="00336A14">
        <w:rPr>
          <w:rFonts w:cs="Arial"/>
          <w:sz w:val="22"/>
          <w:highlight w:val="black"/>
        </w:rPr>
        <w:t>XX</w:t>
      </w:r>
      <w:r w:rsidR="00336A14" w:rsidRPr="00336A14">
        <w:rPr>
          <w:rFonts w:cs="Arial"/>
          <w:sz w:val="22"/>
          <w:highlight w:val="black"/>
        </w:rPr>
        <w:t>XXXXXX</w:t>
      </w:r>
      <w:r>
        <w:rPr>
          <w:rFonts w:cs="Arial"/>
          <w:sz w:val="22"/>
        </w:rPr>
        <w:t xml:space="preserve"> Consultant Cardiologist and </w:t>
      </w:r>
      <w:r w:rsidR="00336A14" w:rsidRPr="00336A14">
        <w:rPr>
          <w:rFonts w:cs="Arial"/>
          <w:sz w:val="22"/>
          <w:highlight w:val="black"/>
        </w:rPr>
        <w:t>XXX</w:t>
      </w:r>
      <w:r w:rsidR="00336A14">
        <w:rPr>
          <w:rFonts w:cs="Arial"/>
          <w:sz w:val="22"/>
          <w:highlight w:val="black"/>
        </w:rPr>
        <w:t>XX</w:t>
      </w:r>
      <w:r w:rsidR="00336A14" w:rsidRPr="00336A14">
        <w:rPr>
          <w:rFonts w:cs="Arial"/>
          <w:sz w:val="22"/>
          <w:highlight w:val="black"/>
        </w:rPr>
        <w:t>XXX</w:t>
      </w:r>
      <w:r w:rsidR="00336A14">
        <w:rPr>
          <w:rFonts w:cs="Arial"/>
          <w:sz w:val="22"/>
        </w:rPr>
        <w:t xml:space="preserve"> </w:t>
      </w:r>
      <w:r>
        <w:rPr>
          <w:rFonts w:cs="Arial"/>
          <w:sz w:val="22"/>
        </w:rPr>
        <w:t>Consultant Nurse Cardiology/ Associate Chief Nurse (NMP), Cardiology</w:t>
      </w:r>
    </w:p>
    <w:p w:rsidR="00701552" w:rsidRDefault="00701552" w:rsidP="00701552">
      <w:pPr>
        <w:pStyle w:val="ListParagraph"/>
        <w:autoSpaceDE w:val="0"/>
        <w:autoSpaceDN w:val="0"/>
        <w:adjustRightInd w:val="0"/>
        <w:ind w:left="360"/>
        <w:jc w:val="both"/>
        <w:rPr>
          <w:rFonts w:cs="Arial"/>
          <w:sz w:val="22"/>
        </w:rPr>
      </w:pPr>
    </w:p>
    <w:p w:rsidR="00701552" w:rsidRDefault="00701552" w:rsidP="00701552">
      <w:pPr>
        <w:pStyle w:val="ListParagraph"/>
        <w:autoSpaceDE w:val="0"/>
        <w:autoSpaceDN w:val="0"/>
        <w:adjustRightInd w:val="0"/>
        <w:ind w:left="360"/>
        <w:jc w:val="both"/>
        <w:rPr>
          <w:rFonts w:cs="Arial"/>
          <w:sz w:val="22"/>
        </w:rPr>
      </w:pPr>
      <w:r>
        <w:rPr>
          <w:rFonts w:cs="Arial"/>
          <w:sz w:val="22"/>
        </w:rPr>
        <w:t xml:space="preserve">Their view is yes international guidelines state a need to assess natriuretic peptide in suspected heart failure however this is not time critical and (unlike troponin) will rarely if ever facilitate discharge from A&amp;E in </w:t>
      </w:r>
      <w:proofErr w:type="spellStart"/>
      <w:r>
        <w:rPr>
          <w:rFonts w:cs="Arial"/>
          <w:sz w:val="22"/>
        </w:rPr>
        <w:t>there</w:t>
      </w:r>
      <w:proofErr w:type="spellEnd"/>
      <w:r>
        <w:rPr>
          <w:rFonts w:cs="Arial"/>
          <w:sz w:val="22"/>
        </w:rPr>
        <w:t xml:space="preserve"> opinion.</w:t>
      </w:r>
    </w:p>
    <w:p w:rsidR="00701552" w:rsidRDefault="00701552" w:rsidP="00701552">
      <w:pPr>
        <w:pStyle w:val="ListParagraph"/>
        <w:autoSpaceDE w:val="0"/>
        <w:autoSpaceDN w:val="0"/>
        <w:adjustRightInd w:val="0"/>
        <w:ind w:left="360"/>
        <w:jc w:val="both"/>
        <w:rPr>
          <w:rFonts w:cs="Arial"/>
          <w:sz w:val="22"/>
        </w:rPr>
      </w:pPr>
      <w:r>
        <w:rPr>
          <w:rFonts w:cs="Arial"/>
          <w:sz w:val="22"/>
        </w:rPr>
        <w:t xml:space="preserve"> </w:t>
      </w:r>
    </w:p>
    <w:p w:rsidR="00701552" w:rsidRDefault="00701552" w:rsidP="00701552">
      <w:pPr>
        <w:pStyle w:val="ListParagraph"/>
        <w:autoSpaceDE w:val="0"/>
        <w:autoSpaceDN w:val="0"/>
        <w:adjustRightInd w:val="0"/>
        <w:ind w:left="360"/>
        <w:jc w:val="both"/>
        <w:rPr>
          <w:rFonts w:cs="Arial"/>
          <w:sz w:val="22"/>
        </w:rPr>
      </w:pPr>
      <w:r>
        <w:rPr>
          <w:rFonts w:cs="Arial"/>
          <w:sz w:val="22"/>
        </w:rPr>
        <w:t>Currently the test is available via the laboratory and history would support that it could be overused with POCT at considerable cost to the trust. If you start doing it on all undifferentiated SOB then you will get a load of people labelled as Heart Failure who are not. Cardiology don’t see a role in an UTC/ambulatory setting.  Look at setting a KPI standard for BNP processed by the laboratory.</w:t>
      </w:r>
    </w:p>
    <w:p w:rsidR="00701552" w:rsidRDefault="00701552" w:rsidP="00701552">
      <w:pPr>
        <w:pStyle w:val="ListParagraph"/>
        <w:autoSpaceDE w:val="0"/>
        <w:autoSpaceDN w:val="0"/>
        <w:adjustRightInd w:val="0"/>
        <w:ind w:left="360"/>
        <w:rPr>
          <w:rFonts w:cs="Arial"/>
          <w:color w:val="000000"/>
          <w:sz w:val="22"/>
        </w:rPr>
      </w:pPr>
    </w:p>
    <w:p w:rsidR="00701552" w:rsidRDefault="00701552" w:rsidP="00B8621B">
      <w:pPr>
        <w:pStyle w:val="ListParagraph"/>
        <w:numPr>
          <w:ilvl w:val="0"/>
          <w:numId w:val="47"/>
        </w:numPr>
        <w:autoSpaceDE w:val="0"/>
        <w:autoSpaceDN w:val="0"/>
        <w:adjustRightInd w:val="0"/>
        <w:rPr>
          <w:rFonts w:cs="Arial"/>
          <w:color w:val="000000"/>
          <w:sz w:val="22"/>
        </w:rPr>
      </w:pPr>
      <w:r>
        <w:rPr>
          <w:rFonts w:cs="Arial"/>
          <w:color w:val="000000"/>
          <w:sz w:val="22"/>
        </w:rPr>
        <w:t>D-Dimer POCT</w:t>
      </w:r>
    </w:p>
    <w:p w:rsidR="00701552" w:rsidRDefault="00701552" w:rsidP="00701552">
      <w:pPr>
        <w:autoSpaceDE w:val="0"/>
        <w:autoSpaceDN w:val="0"/>
        <w:adjustRightInd w:val="0"/>
        <w:rPr>
          <w:rFonts w:cs="Arial"/>
          <w:color w:val="000000"/>
          <w:sz w:val="22"/>
        </w:rPr>
      </w:pPr>
    </w:p>
    <w:p w:rsidR="00701552" w:rsidRDefault="00701552" w:rsidP="00701552">
      <w:pPr>
        <w:ind w:left="360"/>
        <w:jc w:val="both"/>
        <w:rPr>
          <w:rFonts w:cs="Arial"/>
          <w:sz w:val="22"/>
        </w:rPr>
      </w:pPr>
      <w:r>
        <w:rPr>
          <w:rFonts w:cs="Arial"/>
          <w:sz w:val="22"/>
        </w:rPr>
        <w:t xml:space="preserve">Request for age related D-Dimer giving a </w:t>
      </w:r>
      <w:proofErr w:type="spellStart"/>
      <w:r>
        <w:rPr>
          <w:rFonts w:cs="Arial"/>
          <w:sz w:val="22"/>
        </w:rPr>
        <w:t>quantitive</w:t>
      </w:r>
      <w:proofErr w:type="spellEnd"/>
      <w:r>
        <w:rPr>
          <w:rFonts w:cs="Arial"/>
          <w:sz w:val="22"/>
        </w:rPr>
        <w:t xml:space="preserve"> figure, a normal D-Dimer result can be used as a negative indicator to rule out acute deep vein thrombosis and pulmonary embolisms.  Multiple options available for POCT D-Dimer, requires submission POCT Implementation documents to the ULHT POCT team.</w:t>
      </w:r>
    </w:p>
    <w:p w:rsidR="00701552" w:rsidRDefault="00701552" w:rsidP="00701552">
      <w:pPr>
        <w:ind w:left="360"/>
        <w:jc w:val="both"/>
        <w:rPr>
          <w:rFonts w:cs="Arial"/>
          <w:sz w:val="22"/>
        </w:rPr>
      </w:pPr>
    </w:p>
    <w:p w:rsidR="00701552" w:rsidRDefault="00701552" w:rsidP="00701552">
      <w:pPr>
        <w:ind w:left="360"/>
        <w:jc w:val="both"/>
        <w:rPr>
          <w:rFonts w:cs="Arial"/>
          <w:sz w:val="22"/>
        </w:rPr>
      </w:pPr>
      <w:r>
        <w:rPr>
          <w:rFonts w:cs="Arial"/>
          <w:sz w:val="22"/>
        </w:rPr>
        <w:t xml:space="preserve">Currently the test is available via the laboratory and history would support that it could be overused with POCT at considerable cost to the trust.  The laboratory currently report a </w:t>
      </w:r>
      <w:proofErr w:type="spellStart"/>
      <w:r>
        <w:rPr>
          <w:rFonts w:cs="Arial"/>
          <w:sz w:val="22"/>
        </w:rPr>
        <w:t>qualitive</w:t>
      </w:r>
      <w:proofErr w:type="spellEnd"/>
      <w:r>
        <w:rPr>
          <w:rFonts w:cs="Arial"/>
          <w:sz w:val="22"/>
        </w:rPr>
        <w:t xml:space="preserve"> result for D-Dimers (Positive or Negative).  A number of UK trusts are introducing age related D-Dimer </w:t>
      </w:r>
      <w:proofErr w:type="spellStart"/>
      <w:r>
        <w:rPr>
          <w:rFonts w:cs="Arial"/>
          <w:sz w:val="22"/>
        </w:rPr>
        <w:t>quantitive</w:t>
      </w:r>
      <w:proofErr w:type="spellEnd"/>
      <w:r>
        <w:rPr>
          <w:rFonts w:cs="Arial"/>
          <w:sz w:val="22"/>
        </w:rPr>
        <w:t xml:space="preserve"> reporting and this could be created for ED/UTC for requesting on these patients.</w:t>
      </w:r>
    </w:p>
    <w:p w:rsidR="00701552" w:rsidRDefault="00701552" w:rsidP="00701552">
      <w:pPr>
        <w:ind w:left="360"/>
        <w:jc w:val="both"/>
        <w:rPr>
          <w:rFonts w:cs="Arial"/>
          <w:sz w:val="22"/>
        </w:rPr>
      </w:pPr>
    </w:p>
    <w:p w:rsidR="00701552" w:rsidRDefault="00701552" w:rsidP="00701552">
      <w:pPr>
        <w:ind w:left="360"/>
        <w:jc w:val="both"/>
        <w:rPr>
          <w:rFonts w:cs="Arial"/>
          <w:sz w:val="22"/>
        </w:rPr>
      </w:pPr>
      <w:r>
        <w:rPr>
          <w:rFonts w:cs="Arial"/>
          <w:sz w:val="22"/>
        </w:rPr>
        <w:t xml:space="preserve">Our provider has put me in touch with The Princess Alexandra Hospital NHS Trust in Harlow Essex who have completed some work on age related D-Dimer </w:t>
      </w:r>
      <w:proofErr w:type="spellStart"/>
      <w:r>
        <w:rPr>
          <w:rFonts w:cs="Arial"/>
          <w:sz w:val="22"/>
        </w:rPr>
        <w:t>quantitive</w:t>
      </w:r>
      <w:proofErr w:type="spellEnd"/>
      <w:r>
        <w:rPr>
          <w:rFonts w:cs="Arial"/>
          <w:sz w:val="22"/>
        </w:rPr>
        <w:t xml:space="preserve"> </w:t>
      </w:r>
      <w:r>
        <w:rPr>
          <w:rFonts w:cs="Arial"/>
          <w:sz w:val="22"/>
        </w:rPr>
        <w:lastRenderedPageBreak/>
        <w:t xml:space="preserve">reporting, I will feed this back to the working group at a later meeting.  This has also been raised to the Path Links Haematology </w:t>
      </w:r>
      <w:proofErr w:type="spellStart"/>
      <w:r>
        <w:rPr>
          <w:rFonts w:cs="Arial"/>
          <w:sz w:val="22"/>
        </w:rPr>
        <w:t>Techical</w:t>
      </w:r>
      <w:proofErr w:type="spellEnd"/>
      <w:r>
        <w:rPr>
          <w:rFonts w:cs="Arial"/>
          <w:sz w:val="22"/>
        </w:rPr>
        <w:t xml:space="preserve"> working group for further discussion.</w:t>
      </w:r>
    </w:p>
    <w:p w:rsidR="00701552" w:rsidRDefault="00701552" w:rsidP="00701552">
      <w:pPr>
        <w:jc w:val="both"/>
        <w:rPr>
          <w:rFonts w:cs="Arial"/>
          <w:sz w:val="22"/>
        </w:rPr>
      </w:pPr>
    </w:p>
    <w:p w:rsidR="00701552" w:rsidRDefault="00701552" w:rsidP="00701552">
      <w:pPr>
        <w:ind w:left="357" w:firstLine="3"/>
        <w:jc w:val="both"/>
        <w:rPr>
          <w:rFonts w:cs="Arial"/>
          <w:b/>
          <w:sz w:val="22"/>
        </w:rPr>
      </w:pPr>
      <w:r>
        <w:rPr>
          <w:rFonts w:cs="Arial"/>
          <w:b/>
          <w:sz w:val="22"/>
        </w:rPr>
        <w:t xml:space="preserve">Any POCT would require a full Procurement </w:t>
      </w:r>
      <w:proofErr w:type="gramStart"/>
      <w:r>
        <w:rPr>
          <w:rFonts w:cs="Arial"/>
          <w:b/>
          <w:sz w:val="22"/>
        </w:rPr>
        <w:t>tender ,</w:t>
      </w:r>
      <w:proofErr w:type="gramEnd"/>
      <w:r>
        <w:rPr>
          <w:rFonts w:cs="Arial"/>
          <w:b/>
          <w:sz w:val="22"/>
        </w:rPr>
        <w:t xml:space="preserve"> further suggestions for POCT solutions can be worked into solutions 1 &amp; 2.  </w:t>
      </w:r>
    </w:p>
    <w:p w:rsidR="00701552" w:rsidRDefault="00701552" w:rsidP="00701552">
      <w:pPr>
        <w:autoSpaceDE w:val="0"/>
        <w:autoSpaceDN w:val="0"/>
        <w:adjustRightInd w:val="0"/>
        <w:rPr>
          <w:rFonts w:cs="Arial"/>
          <w:color w:val="000000"/>
          <w:sz w:val="22"/>
        </w:rPr>
      </w:pPr>
    </w:p>
    <w:p w:rsidR="00701552" w:rsidRDefault="00701552" w:rsidP="00701552">
      <w:pPr>
        <w:autoSpaceDE w:val="0"/>
        <w:autoSpaceDN w:val="0"/>
        <w:adjustRightInd w:val="0"/>
        <w:rPr>
          <w:rFonts w:cs="Arial"/>
          <w:color w:val="000000"/>
          <w:sz w:val="22"/>
        </w:rPr>
      </w:pPr>
    </w:p>
    <w:p w:rsidR="00701552" w:rsidRDefault="00701552" w:rsidP="00B8621B">
      <w:pPr>
        <w:numPr>
          <w:ilvl w:val="0"/>
          <w:numId w:val="41"/>
        </w:numPr>
        <w:spacing w:after="200" w:line="276" w:lineRule="auto"/>
        <w:ind w:left="357" w:hanging="357"/>
        <w:outlineLvl w:val="0"/>
        <w:rPr>
          <w:rFonts w:cs="Arial"/>
          <w:b/>
          <w:color w:val="005EB8"/>
          <w:sz w:val="32"/>
          <w:szCs w:val="24"/>
        </w:rPr>
      </w:pPr>
      <w:bookmarkStart w:id="176" w:name="_Toc494718783"/>
      <w:bookmarkStart w:id="177" w:name="_Toc98324693"/>
      <w:bookmarkStart w:id="178" w:name="_Toc99880958"/>
      <w:bookmarkStart w:id="179" w:name="_Toc100070289"/>
      <w:bookmarkStart w:id="180" w:name="_Toc100307215"/>
      <w:bookmarkStart w:id="181" w:name="_Toc100307363"/>
      <w:bookmarkStart w:id="182" w:name="_Toc100318569"/>
      <w:bookmarkStart w:id="183" w:name="_Toc100320577"/>
      <w:bookmarkStart w:id="184" w:name="_Toc100341059"/>
      <w:bookmarkStart w:id="185" w:name="_Toc100569475"/>
      <w:bookmarkStart w:id="186" w:name="_Toc105493514"/>
      <w:bookmarkStart w:id="187" w:name="_Toc105665239"/>
      <w:r>
        <w:rPr>
          <w:rFonts w:cs="Arial"/>
          <w:b/>
          <w:color w:val="005EB8"/>
          <w:sz w:val="32"/>
        </w:rPr>
        <w:t>Key Assumptions and Dependencies</w:t>
      </w:r>
      <w:bookmarkEnd w:id="176"/>
      <w:bookmarkEnd w:id="177"/>
      <w:bookmarkEnd w:id="178"/>
      <w:bookmarkEnd w:id="179"/>
      <w:bookmarkEnd w:id="180"/>
      <w:bookmarkEnd w:id="181"/>
      <w:bookmarkEnd w:id="182"/>
      <w:bookmarkEnd w:id="183"/>
      <w:bookmarkEnd w:id="184"/>
      <w:bookmarkEnd w:id="185"/>
      <w:bookmarkEnd w:id="186"/>
      <w:bookmarkEnd w:id="187"/>
    </w:p>
    <w:p w:rsidR="00701552" w:rsidRDefault="00701552" w:rsidP="00B8621B">
      <w:pPr>
        <w:pStyle w:val="ListParagraph"/>
        <w:numPr>
          <w:ilvl w:val="0"/>
          <w:numId w:val="48"/>
        </w:numPr>
        <w:tabs>
          <w:tab w:val="left" w:pos="426"/>
        </w:tabs>
        <w:jc w:val="both"/>
        <w:rPr>
          <w:rFonts w:eastAsia="Calibri" w:cs="Arial"/>
          <w:color w:val="000000" w:themeColor="text1"/>
          <w:sz w:val="22"/>
        </w:rPr>
      </w:pPr>
      <w:proofErr w:type="spellStart"/>
      <w:r>
        <w:rPr>
          <w:rFonts w:eastAsia="Calibri" w:cs="Arial"/>
          <w:color w:val="000000" w:themeColor="text1"/>
          <w:sz w:val="22"/>
        </w:rPr>
        <w:t>Modeling</w:t>
      </w:r>
      <w:proofErr w:type="spellEnd"/>
      <w:r>
        <w:rPr>
          <w:rFonts w:eastAsia="Calibri" w:cs="Arial"/>
          <w:color w:val="000000" w:themeColor="text1"/>
          <w:sz w:val="22"/>
        </w:rPr>
        <w:t xml:space="preserve"> foot fall for the new ED/UTC development</w:t>
      </w:r>
    </w:p>
    <w:p w:rsidR="00701552" w:rsidRDefault="00701552" w:rsidP="00B8621B">
      <w:pPr>
        <w:pStyle w:val="ListParagraph"/>
        <w:numPr>
          <w:ilvl w:val="0"/>
          <w:numId w:val="48"/>
        </w:numPr>
        <w:tabs>
          <w:tab w:val="left" w:pos="426"/>
        </w:tabs>
        <w:jc w:val="both"/>
        <w:rPr>
          <w:rFonts w:eastAsia="Calibri" w:cs="Arial"/>
          <w:color w:val="000000" w:themeColor="text1"/>
          <w:sz w:val="22"/>
        </w:rPr>
      </w:pPr>
      <w:r>
        <w:rPr>
          <w:rFonts w:eastAsia="Calibri" w:cs="Arial"/>
          <w:color w:val="000000" w:themeColor="text1"/>
          <w:sz w:val="22"/>
        </w:rPr>
        <w:t>Ability to recruit staff.</w:t>
      </w:r>
    </w:p>
    <w:p w:rsidR="00701552" w:rsidRDefault="00701552" w:rsidP="00B8621B">
      <w:pPr>
        <w:pStyle w:val="ListParagraph"/>
        <w:numPr>
          <w:ilvl w:val="0"/>
          <w:numId w:val="48"/>
        </w:numPr>
        <w:tabs>
          <w:tab w:val="left" w:pos="426"/>
        </w:tabs>
        <w:jc w:val="both"/>
        <w:rPr>
          <w:rFonts w:eastAsia="Calibri" w:cs="Arial"/>
          <w:color w:val="000000" w:themeColor="text1"/>
          <w:sz w:val="22"/>
        </w:rPr>
      </w:pPr>
      <w:r>
        <w:rPr>
          <w:rFonts w:eastAsia="Calibri" w:cs="Arial"/>
          <w:color w:val="000000" w:themeColor="text1"/>
          <w:sz w:val="22"/>
        </w:rPr>
        <w:t>Ability to train staff to a level of competence using these devices and systems.</w:t>
      </w:r>
    </w:p>
    <w:p w:rsidR="00701552" w:rsidRDefault="00701552" w:rsidP="00B8621B">
      <w:pPr>
        <w:pStyle w:val="ListParagraph"/>
        <w:numPr>
          <w:ilvl w:val="0"/>
          <w:numId w:val="48"/>
        </w:numPr>
        <w:tabs>
          <w:tab w:val="left" w:pos="426"/>
        </w:tabs>
        <w:jc w:val="both"/>
        <w:rPr>
          <w:rFonts w:eastAsia="Calibri" w:cs="Arial"/>
          <w:color w:val="000000" w:themeColor="text1"/>
          <w:sz w:val="22"/>
        </w:rPr>
      </w:pPr>
      <w:r>
        <w:rPr>
          <w:rFonts w:eastAsia="Calibri" w:cs="Arial"/>
          <w:color w:val="000000" w:themeColor="text1"/>
          <w:sz w:val="22"/>
        </w:rPr>
        <w:t>Ability of staff to maintain competence.</w:t>
      </w:r>
    </w:p>
    <w:p w:rsidR="00701552" w:rsidRDefault="00701552" w:rsidP="00B8621B">
      <w:pPr>
        <w:pStyle w:val="ListParagraph"/>
        <w:numPr>
          <w:ilvl w:val="0"/>
          <w:numId w:val="48"/>
        </w:numPr>
        <w:tabs>
          <w:tab w:val="left" w:pos="426"/>
        </w:tabs>
        <w:jc w:val="both"/>
        <w:rPr>
          <w:rFonts w:eastAsia="Calibri" w:cs="Arial"/>
          <w:color w:val="000000" w:themeColor="text1"/>
          <w:sz w:val="22"/>
        </w:rPr>
      </w:pPr>
      <w:r>
        <w:rPr>
          <w:rFonts w:eastAsia="Calibri" w:cs="Arial"/>
          <w:color w:val="000000" w:themeColor="text1"/>
          <w:sz w:val="22"/>
        </w:rPr>
        <w:t xml:space="preserve">Ability to meet Quality control standards around IQC </w:t>
      </w:r>
      <w:proofErr w:type="gramStart"/>
      <w:r>
        <w:rPr>
          <w:rFonts w:eastAsia="Calibri" w:cs="Arial"/>
          <w:color w:val="000000" w:themeColor="text1"/>
          <w:sz w:val="22"/>
        </w:rPr>
        <w:t>And</w:t>
      </w:r>
      <w:proofErr w:type="gramEnd"/>
      <w:r>
        <w:rPr>
          <w:rFonts w:eastAsia="Calibri" w:cs="Arial"/>
          <w:color w:val="000000" w:themeColor="text1"/>
          <w:sz w:val="22"/>
        </w:rPr>
        <w:t xml:space="preserve"> EQA returns for all registered devices.</w:t>
      </w:r>
    </w:p>
    <w:p w:rsidR="00701552" w:rsidRDefault="00701552" w:rsidP="00B8621B">
      <w:pPr>
        <w:pStyle w:val="ListParagraph"/>
        <w:numPr>
          <w:ilvl w:val="0"/>
          <w:numId w:val="48"/>
        </w:numPr>
        <w:tabs>
          <w:tab w:val="left" w:pos="426"/>
        </w:tabs>
        <w:jc w:val="both"/>
        <w:rPr>
          <w:rFonts w:eastAsia="Calibri" w:cs="Arial"/>
          <w:color w:val="000000" w:themeColor="text1"/>
          <w:sz w:val="22"/>
        </w:rPr>
      </w:pPr>
      <w:r>
        <w:rPr>
          <w:rFonts w:eastAsia="Calibri" w:cs="Arial"/>
          <w:color w:val="000000" w:themeColor="text1"/>
          <w:sz w:val="22"/>
        </w:rPr>
        <w:t xml:space="preserve">Capacity of Trust IT and </w:t>
      </w:r>
      <w:proofErr w:type="spellStart"/>
      <w:r>
        <w:rPr>
          <w:rFonts w:eastAsia="Calibri" w:cs="Arial"/>
          <w:color w:val="000000" w:themeColor="text1"/>
          <w:sz w:val="22"/>
        </w:rPr>
        <w:t>WebV</w:t>
      </w:r>
      <w:proofErr w:type="spellEnd"/>
      <w:r>
        <w:rPr>
          <w:rFonts w:eastAsia="Calibri" w:cs="Arial"/>
          <w:color w:val="000000" w:themeColor="text1"/>
          <w:sz w:val="22"/>
        </w:rPr>
        <w:t xml:space="preserve"> team to support implementation of additional </w:t>
      </w:r>
      <w:proofErr w:type="gramStart"/>
      <w:r>
        <w:rPr>
          <w:rFonts w:eastAsia="Calibri" w:cs="Arial"/>
          <w:color w:val="000000" w:themeColor="text1"/>
          <w:sz w:val="22"/>
        </w:rPr>
        <w:t>POCT, that</w:t>
      </w:r>
      <w:proofErr w:type="gramEnd"/>
      <w:r>
        <w:rPr>
          <w:rFonts w:eastAsia="Calibri" w:cs="Arial"/>
          <w:color w:val="000000" w:themeColor="text1"/>
          <w:sz w:val="22"/>
        </w:rPr>
        <w:t xml:space="preserve"> can be interfaced into the Pathology LIMS system.</w:t>
      </w:r>
    </w:p>
    <w:p w:rsidR="00701552" w:rsidRDefault="00701552" w:rsidP="00701552">
      <w:pPr>
        <w:tabs>
          <w:tab w:val="left" w:pos="426"/>
        </w:tabs>
        <w:ind w:left="567" w:hanging="567"/>
        <w:jc w:val="both"/>
        <w:rPr>
          <w:rFonts w:eastAsia="Calibri" w:cs="Arial"/>
          <w:sz w:val="22"/>
        </w:rPr>
      </w:pPr>
    </w:p>
    <w:tbl>
      <w:tblPr>
        <w:tblStyle w:val="TableGrid"/>
        <w:tblW w:w="0" w:type="auto"/>
        <w:tblInd w:w="108" w:type="dxa"/>
        <w:tblLook w:val="04A0" w:firstRow="1" w:lastRow="0" w:firstColumn="1" w:lastColumn="0" w:noHBand="0" w:noVBand="1"/>
      </w:tblPr>
      <w:tblGrid>
        <w:gridCol w:w="2745"/>
        <w:gridCol w:w="895"/>
        <w:gridCol w:w="3613"/>
        <w:gridCol w:w="1655"/>
      </w:tblGrid>
      <w:tr w:rsidR="00701552" w:rsidTr="00701552">
        <w:tc>
          <w:tcPr>
            <w:tcW w:w="293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701552" w:rsidRDefault="00701552">
            <w:pPr>
              <w:tabs>
                <w:tab w:val="left" w:pos="426"/>
              </w:tabs>
              <w:jc w:val="both"/>
              <w:rPr>
                <w:rFonts w:eastAsia="Calibri" w:cs="Arial"/>
                <w:b/>
                <w:sz w:val="20"/>
                <w:szCs w:val="20"/>
              </w:rPr>
            </w:pPr>
            <w:r>
              <w:rPr>
                <w:rFonts w:eastAsia="Calibri" w:cs="Arial"/>
                <w:b/>
                <w:sz w:val="20"/>
                <w:szCs w:val="20"/>
              </w:rPr>
              <w:t>Area</w:t>
            </w:r>
          </w:p>
        </w:tc>
        <w:tc>
          <w:tcPr>
            <w:tcW w:w="895"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701552" w:rsidRDefault="00701552">
            <w:pPr>
              <w:tabs>
                <w:tab w:val="left" w:pos="426"/>
              </w:tabs>
              <w:jc w:val="both"/>
              <w:rPr>
                <w:rFonts w:eastAsia="Calibri" w:cs="Arial"/>
                <w:b/>
                <w:sz w:val="20"/>
                <w:szCs w:val="20"/>
              </w:rPr>
            </w:pPr>
            <w:r>
              <w:rPr>
                <w:rFonts w:eastAsia="Calibri" w:cs="Arial"/>
                <w:b/>
                <w:sz w:val="20"/>
                <w:szCs w:val="20"/>
              </w:rPr>
              <w:t>Yes/No</w:t>
            </w:r>
          </w:p>
        </w:tc>
        <w:tc>
          <w:tcPr>
            <w:tcW w:w="425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701552" w:rsidRDefault="00701552">
            <w:pPr>
              <w:tabs>
                <w:tab w:val="left" w:pos="426"/>
              </w:tabs>
              <w:jc w:val="both"/>
              <w:rPr>
                <w:rFonts w:eastAsia="Calibri" w:cs="Arial"/>
                <w:b/>
                <w:sz w:val="20"/>
                <w:szCs w:val="20"/>
              </w:rPr>
            </w:pPr>
            <w:r>
              <w:rPr>
                <w:rFonts w:eastAsia="Calibri" w:cs="Arial"/>
                <w:b/>
                <w:sz w:val="20"/>
                <w:szCs w:val="20"/>
              </w:rPr>
              <w:t>Further Detail if Yes</w:t>
            </w:r>
          </w:p>
        </w:tc>
        <w:tc>
          <w:tcPr>
            <w:tcW w:w="189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rsidR="00701552" w:rsidRDefault="00701552">
            <w:pPr>
              <w:tabs>
                <w:tab w:val="left" w:pos="426"/>
              </w:tabs>
              <w:jc w:val="both"/>
              <w:rPr>
                <w:rFonts w:eastAsia="Calibri" w:cs="Arial"/>
                <w:b/>
                <w:sz w:val="20"/>
                <w:szCs w:val="20"/>
              </w:rPr>
            </w:pPr>
            <w:r>
              <w:rPr>
                <w:rFonts w:eastAsia="Calibri" w:cs="Arial"/>
                <w:b/>
                <w:sz w:val="20"/>
                <w:szCs w:val="20"/>
              </w:rPr>
              <w:t>Agreed with</w:t>
            </w:r>
          </w:p>
        </w:tc>
      </w:tr>
      <w:tr w:rsidR="00701552" w:rsidTr="00701552">
        <w:tc>
          <w:tcPr>
            <w:tcW w:w="2933"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rPr>
                <w:rFonts w:eastAsia="Calibri" w:cs="Arial"/>
                <w:sz w:val="20"/>
                <w:szCs w:val="20"/>
              </w:rPr>
            </w:pPr>
            <w:r>
              <w:rPr>
                <w:rFonts w:eastAsia="Calibri" w:cs="Arial"/>
                <w:sz w:val="20"/>
                <w:szCs w:val="20"/>
              </w:rPr>
              <w:t xml:space="preserve">Estates &amp; Facilities </w:t>
            </w:r>
            <w:r>
              <w:rPr>
                <w:rFonts w:eastAsia="Calibri" w:cs="Arial"/>
                <w:sz w:val="18"/>
                <w:szCs w:val="18"/>
              </w:rPr>
              <w:t xml:space="preserve">(domestics, </w:t>
            </w:r>
            <w:proofErr w:type="spellStart"/>
            <w:r>
              <w:rPr>
                <w:rFonts w:eastAsia="Calibri" w:cs="Arial"/>
                <w:sz w:val="18"/>
                <w:szCs w:val="18"/>
              </w:rPr>
              <w:t>portering</w:t>
            </w:r>
            <w:proofErr w:type="spellEnd"/>
            <w:r>
              <w:rPr>
                <w:rFonts w:eastAsia="Calibri" w:cs="Arial"/>
                <w:sz w:val="18"/>
                <w:szCs w:val="18"/>
              </w:rPr>
              <w:t>, catering etc.</w:t>
            </w:r>
          </w:p>
        </w:tc>
        <w:tc>
          <w:tcPr>
            <w:tcW w:w="895"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Yes</w:t>
            </w:r>
          </w:p>
        </w:tc>
        <w:tc>
          <w:tcPr>
            <w:tcW w:w="4252"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 xml:space="preserve">Air tube system x 2 ED/UTC, </w:t>
            </w:r>
            <w:proofErr w:type="spellStart"/>
            <w:r>
              <w:rPr>
                <w:rFonts w:eastAsia="Calibri" w:cs="Arial"/>
                <w:sz w:val="20"/>
                <w:szCs w:val="20"/>
              </w:rPr>
              <w:t>Portering</w:t>
            </w:r>
            <w:proofErr w:type="spellEnd"/>
            <w:r>
              <w:rPr>
                <w:rFonts w:eastAsia="Calibri" w:cs="Arial"/>
                <w:sz w:val="20"/>
                <w:szCs w:val="20"/>
              </w:rPr>
              <w:t xml:space="preserve"> support, Diagnostic room with new development</w:t>
            </w:r>
          </w:p>
        </w:tc>
        <w:tc>
          <w:tcPr>
            <w:tcW w:w="1892"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TBC</w:t>
            </w:r>
          </w:p>
        </w:tc>
      </w:tr>
      <w:tr w:rsidR="00701552" w:rsidTr="00701552">
        <w:tc>
          <w:tcPr>
            <w:tcW w:w="2933"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Diagnostics</w:t>
            </w:r>
          </w:p>
        </w:tc>
        <w:tc>
          <w:tcPr>
            <w:tcW w:w="895"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Yes</w:t>
            </w:r>
          </w:p>
        </w:tc>
        <w:tc>
          <w:tcPr>
            <w:tcW w:w="4252"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POCT team support, Providers training/support</w:t>
            </w:r>
          </w:p>
        </w:tc>
        <w:tc>
          <w:tcPr>
            <w:tcW w:w="1892"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TBC</w:t>
            </w:r>
          </w:p>
        </w:tc>
      </w:tr>
      <w:tr w:rsidR="00701552" w:rsidTr="00701552">
        <w:tc>
          <w:tcPr>
            <w:tcW w:w="2933"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Pharmacy</w:t>
            </w:r>
          </w:p>
        </w:tc>
        <w:tc>
          <w:tcPr>
            <w:tcW w:w="895"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No</w:t>
            </w:r>
          </w:p>
        </w:tc>
        <w:tc>
          <w:tcPr>
            <w:tcW w:w="4252" w:type="dxa"/>
            <w:tcBorders>
              <w:top w:val="single" w:sz="4" w:space="0" w:color="auto"/>
              <w:left w:val="single" w:sz="4" w:space="0" w:color="auto"/>
              <w:bottom w:val="single" w:sz="4" w:space="0" w:color="auto"/>
              <w:right w:val="single" w:sz="4" w:space="0" w:color="auto"/>
            </w:tcBorders>
          </w:tcPr>
          <w:p w:rsidR="00701552" w:rsidRDefault="00701552">
            <w:pPr>
              <w:tabs>
                <w:tab w:val="left" w:pos="426"/>
              </w:tabs>
              <w:jc w:val="both"/>
              <w:rPr>
                <w:rFonts w:eastAsia="Calibri" w:cs="Arial"/>
                <w:sz w:val="20"/>
                <w:szCs w:val="20"/>
              </w:rPr>
            </w:pPr>
          </w:p>
        </w:tc>
        <w:tc>
          <w:tcPr>
            <w:tcW w:w="1892" w:type="dxa"/>
            <w:tcBorders>
              <w:top w:val="single" w:sz="4" w:space="0" w:color="auto"/>
              <w:left w:val="single" w:sz="4" w:space="0" w:color="auto"/>
              <w:bottom w:val="single" w:sz="4" w:space="0" w:color="auto"/>
              <w:right w:val="single" w:sz="4" w:space="0" w:color="auto"/>
            </w:tcBorders>
          </w:tcPr>
          <w:p w:rsidR="00701552" w:rsidRDefault="00701552">
            <w:pPr>
              <w:tabs>
                <w:tab w:val="left" w:pos="426"/>
              </w:tabs>
              <w:jc w:val="both"/>
              <w:rPr>
                <w:rFonts w:eastAsia="Calibri" w:cs="Arial"/>
                <w:sz w:val="20"/>
                <w:szCs w:val="20"/>
              </w:rPr>
            </w:pPr>
          </w:p>
        </w:tc>
      </w:tr>
      <w:tr w:rsidR="00701552" w:rsidTr="00701552">
        <w:tc>
          <w:tcPr>
            <w:tcW w:w="2933"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Path Links</w:t>
            </w:r>
          </w:p>
        </w:tc>
        <w:tc>
          <w:tcPr>
            <w:tcW w:w="895"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Yes</w:t>
            </w:r>
          </w:p>
        </w:tc>
        <w:tc>
          <w:tcPr>
            <w:tcW w:w="4252"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Recruitment &amp; training</w:t>
            </w:r>
          </w:p>
        </w:tc>
        <w:tc>
          <w:tcPr>
            <w:tcW w:w="1892"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TBC</w:t>
            </w:r>
          </w:p>
        </w:tc>
      </w:tr>
      <w:tr w:rsidR="00701552" w:rsidTr="00701552">
        <w:tc>
          <w:tcPr>
            <w:tcW w:w="2933"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IT / IM&amp;T</w:t>
            </w:r>
          </w:p>
        </w:tc>
        <w:tc>
          <w:tcPr>
            <w:tcW w:w="895"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Yes</w:t>
            </w:r>
          </w:p>
        </w:tc>
        <w:tc>
          <w:tcPr>
            <w:tcW w:w="4252"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 xml:space="preserve">Interfacing additional POCT systems, </w:t>
            </w:r>
            <w:proofErr w:type="spellStart"/>
            <w:r>
              <w:rPr>
                <w:rFonts w:eastAsia="Calibri" w:cs="Arial"/>
                <w:sz w:val="20"/>
                <w:szCs w:val="20"/>
              </w:rPr>
              <w:t>WebV</w:t>
            </w:r>
            <w:proofErr w:type="spellEnd"/>
            <w:r>
              <w:rPr>
                <w:rFonts w:eastAsia="Calibri" w:cs="Arial"/>
                <w:sz w:val="20"/>
                <w:szCs w:val="20"/>
              </w:rPr>
              <w:t>, ULHT IT</w:t>
            </w:r>
          </w:p>
        </w:tc>
        <w:tc>
          <w:tcPr>
            <w:tcW w:w="1892"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TBC</w:t>
            </w:r>
          </w:p>
        </w:tc>
      </w:tr>
      <w:tr w:rsidR="00701552" w:rsidTr="00701552">
        <w:tc>
          <w:tcPr>
            <w:tcW w:w="2933"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Other Divisions/Directorates</w:t>
            </w:r>
          </w:p>
        </w:tc>
        <w:tc>
          <w:tcPr>
            <w:tcW w:w="895"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No</w:t>
            </w:r>
          </w:p>
        </w:tc>
        <w:tc>
          <w:tcPr>
            <w:tcW w:w="4252" w:type="dxa"/>
            <w:tcBorders>
              <w:top w:val="single" w:sz="4" w:space="0" w:color="auto"/>
              <w:left w:val="single" w:sz="4" w:space="0" w:color="auto"/>
              <w:bottom w:val="single" w:sz="4" w:space="0" w:color="auto"/>
              <w:right w:val="single" w:sz="4" w:space="0" w:color="auto"/>
            </w:tcBorders>
          </w:tcPr>
          <w:p w:rsidR="00701552" w:rsidRDefault="00701552">
            <w:pPr>
              <w:tabs>
                <w:tab w:val="left" w:pos="426"/>
              </w:tabs>
              <w:jc w:val="both"/>
              <w:rPr>
                <w:rFonts w:eastAsia="Calibri" w:cs="Arial"/>
                <w:sz w:val="20"/>
                <w:szCs w:val="20"/>
              </w:rPr>
            </w:pPr>
          </w:p>
        </w:tc>
        <w:tc>
          <w:tcPr>
            <w:tcW w:w="1892" w:type="dxa"/>
            <w:tcBorders>
              <w:top w:val="single" w:sz="4" w:space="0" w:color="auto"/>
              <w:left w:val="single" w:sz="4" w:space="0" w:color="auto"/>
              <w:bottom w:val="single" w:sz="4" w:space="0" w:color="auto"/>
              <w:right w:val="single" w:sz="4" w:space="0" w:color="auto"/>
            </w:tcBorders>
          </w:tcPr>
          <w:p w:rsidR="00701552" w:rsidRDefault="00701552">
            <w:pPr>
              <w:tabs>
                <w:tab w:val="left" w:pos="426"/>
              </w:tabs>
              <w:jc w:val="both"/>
              <w:rPr>
                <w:rFonts w:eastAsia="Calibri" w:cs="Arial"/>
                <w:sz w:val="20"/>
                <w:szCs w:val="20"/>
              </w:rPr>
            </w:pPr>
          </w:p>
        </w:tc>
      </w:tr>
      <w:tr w:rsidR="00701552" w:rsidTr="00701552">
        <w:tc>
          <w:tcPr>
            <w:tcW w:w="2933"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Procurement</w:t>
            </w:r>
          </w:p>
        </w:tc>
        <w:tc>
          <w:tcPr>
            <w:tcW w:w="895"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Yes</w:t>
            </w:r>
          </w:p>
        </w:tc>
        <w:tc>
          <w:tcPr>
            <w:tcW w:w="4252"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Tender for selected POCT</w:t>
            </w:r>
          </w:p>
        </w:tc>
        <w:tc>
          <w:tcPr>
            <w:tcW w:w="1892"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TBC</w:t>
            </w:r>
          </w:p>
        </w:tc>
      </w:tr>
      <w:tr w:rsidR="00701552" w:rsidTr="00701552">
        <w:tc>
          <w:tcPr>
            <w:tcW w:w="2933"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Contracting</w:t>
            </w:r>
          </w:p>
        </w:tc>
        <w:tc>
          <w:tcPr>
            <w:tcW w:w="895"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Yes</w:t>
            </w:r>
          </w:p>
        </w:tc>
        <w:tc>
          <w:tcPr>
            <w:tcW w:w="4252"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 xml:space="preserve">Potential contracts providers/Path Links NLAG, </w:t>
            </w:r>
          </w:p>
        </w:tc>
        <w:tc>
          <w:tcPr>
            <w:tcW w:w="1892"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TBC</w:t>
            </w:r>
          </w:p>
        </w:tc>
      </w:tr>
      <w:tr w:rsidR="00701552" w:rsidTr="00701552">
        <w:tc>
          <w:tcPr>
            <w:tcW w:w="2933"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Governance</w:t>
            </w:r>
          </w:p>
        </w:tc>
        <w:tc>
          <w:tcPr>
            <w:tcW w:w="895"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Yes</w:t>
            </w:r>
          </w:p>
        </w:tc>
        <w:tc>
          <w:tcPr>
            <w:tcW w:w="4252"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Trust, Path Links</w:t>
            </w:r>
          </w:p>
        </w:tc>
        <w:tc>
          <w:tcPr>
            <w:tcW w:w="1892"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TBC</w:t>
            </w:r>
          </w:p>
        </w:tc>
      </w:tr>
      <w:tr w:rsidR="00701552" w:rsidTr="00701552">
        <w:tc>
          <w:tcPr>
            <w:tcW w:w="2933"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CQC registration</w:t>
            </w:r>
          </w:p>
        </w:tc>
        <w:tc>
          <w:tcPr>
            <w:tcW w:w="895"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No</w:t>
            </w:r>
          </w:p>
        </w:tc>
        <w:tc>
          <w:tcPr>
            <w:tcW w:w="4252" w:type="dxa"/>
            <w:tcBorders>
              <w:top w:val="single" w:sz="4" w:space="0" w:color="auto"/>
              <w:left w:val="single" w:sz="4" w:space="0" w:color="auto"/>
              <w:bottom w:val="single" w:sz="4" w:space="0" w:color="auto"/>
              <w:right w:val="single" w:sz="4" w:space="0" w:color="auto"/>
            </w:tcBorders>
          </w:tcPr>
          <w:p w:rsidR="00701552" w:rsidRDefault="00701552">
            <w:pPr>
              <w:tabs>
                <w:tab w:val="left" w:pos="426"/>
              </w:tabs>
              <w:jc w:val="both"/>
              <w:rPr>
                <w:rFonts w:eastAsia="Calibri" w:cs="Arial"/>
                <w:sz w:val="20"/>
                <w:szCs w:val="20"/>
              </w:rPr>
            </w:pPr>
          </w:p>
        </w:tc>
        <w:tc>
          <w:tcPr>
            <w:tcW w:w="1892" w:type="dxa"/>
            <w:tcBorders>
              <w:top w:val="single" w:sz="4" w:space="0" w:color="auto"/>
              <w:left w:val="single" w:sz="4" w:space="0" w:color="auto"/>
              <w:bottom w:val="single" w:sz="4" w:space="0" w:color="auto"/>
              <w:right w:val="single" w:sz="4" w:space="0" w:color="auto"/>
            </w:tcBorders>
          </w:tcPr>
          <w:p w:rsidR="00701552" w:rsidRDefault="00701552">
            <w:pPr>
              <w:tabs>
                <w:tab w:val="left" w:pos="426"/>
              </w:tabs>
              <w:jc w:val="both"/>
              <w:rPr>
                <w:rFonts w:eastAsia="Calibri" w:cs="Arial"/>
                <w:sz w:val="20"/>
                <w:szCs w:val="20"/>
              </w:rPr>
            </w:pPr>
          </w:p>
        </w:tc>
      </w:tr>
      <w:tr w:rsidR="00701552" w:rsidTr="00701552">
        <w:tc>
          <w:tcPr>
            <w:tcW w:w="2933"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Legal implications</w:t>
            </w:r>
          </w:p>
        </w:tc>
        <w:tc>
          <w:tcPr>
            <w:tcW w:w="895"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No</w:t>
            </w:r>
          </w:p>
        </w:tc>
        <w:tc>
          <w:tcPr>
            <w:tcW w:w="4252" w:type="dxa"/>
            <w:tcBorders>
              <w:top w:val="single" w:sz="4" w:space="0" w:color="auto"/>
              <w:left w:val="single" w:sz="4" w:space="0" w:color="auto"/>
              <w:bottom w:val="single" w:sz="4" w:space="0" w:color="auto"/>
              <w:right w:val="single" w:sz="4" w:space="0" w:color="auto"/>
            </w:tcBorders>
          </w:tcPr>
          <w:p w:rsidR="00701552" w:rsidRDefault="00701552">
            <w:pPr>
              <w:tabs>
                <w:tab w:val="left" w:pos="426"/>
              </w:tabs>
              <w:jc w:val="both"/>
              <w:rPr>
                <w:rFonts w:eastAsia="Calibri" w:cs="Arial"/>
                <w:sz w:val="20"/>
                <w:szCs w:val="20"/>
              </w:rPr>
            </w:pPr>
          </w:p>
        </w:tc>
        <w:tc>
          <w:tcPr>
            <w:tcW w:w="1892" w:type="dxa"/>
            <w:tcBorders>
              <w:top w:val="single" w:sz="4" w:space="0" w:color="auto"/>
              <w:left w:val="single" w:sz="4" w:space="0" w:color="auto"/>
              <w:bottom w:val="single" w:sz="4" w:space="0" w:color="auto"/>
              <w:right w:val="single" w:sz="4" w:space="0" w:color="auto"/>
            </w:tcBorders>
          </w:tcPr>
          <w:p w:rsidR="00701552" w:rsidRDefault="00701552">
            <w:pPr>
              <w:tabs>
                <w:tab w:val="left" w:pos="426"/>
              </w:tabs>
              <w:jc w:val="both"/>
              <w:rPr>
                <w:rFonts w:eastAsia="Calibri" w:cs="Arial"/>
                <w:sz w:val="20"/>
                <w:szCs w:val="20"/>
              </w:rPr>
            </w:pPr>
          </w:p>
        </w:tc>
      </w:tr>
      <w:tr w:rsidR="00701552" w:rsidTr="00701552">
        <w:tc>
          <w:tcPr>
            <w:tcW w:w="2933"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Equality &amp; diversity</w:t>
            </w:r>
          </w:p>
        </w:tc>
        <w:tc>
          <w:tcPr>
            <w:tcW w:w="895"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No</w:t>
            </w:r>
          </w:p>
        </w:tc>
        <w:tc>
          <w:tcPr>
            <w:tcW w:w="4252" w:type="dxa"/>
            <w:tcBorders>
              <w:top w:val="single" w:sz="4" w:space="0" w:color="auto"/>
              <w:left w:val="single" w:sz="4" w:space="0" w:color="auto"/>
              <w:bottom w:val="single" w:sz="4" w:space="0" w:color="auto"/>
              <w:right w:val="single" w:sz="4" w:space="0" w:color="auto"/>
            </w:tcBorders>
          </w:tcPr>
          <w:p w:rsidR="00701552" w:rsidRDefault="00701552">
            <w:pPr>
              <w:tabs>
                <w:tab w:val="left" w:pos="426"/>
              </w:tabs>
              <w:jc w:val="both"/>
              <w:rPr>
                <w:rFonts w:eastAsia="Calibri" w:cs="Arial"/>
                <w:sz w:val="20"/>
                <w:szCs w:val="20"/>
              </w:rPr>
            </w:pPr>
          </w:p>
        </w:tc>
        <w:tc>
          <w:tcPr>
            <w:tcW w:w="1892" w:type="dxa"/>
            <w:tcBorders>
              <w:top w:val="single" w:sz="4" w:space="0" w:color="auto"/>
              <w:left w:val="single" w:sz="4" w:space="0" w:color="auto"/>
              <w:bottom w:val="single" w:sz="4" w:space="0" w:color="auto"/>
              <w:right w:val="single" w:sz="4" w:space="0" w:color="auto"/>
            </w:tcBorders>
          </w:tcPr>
          <w:p w:rsidR="00701552" w:rsidRDefault="00701552">
            <w:pPr>
              <w:tabs>
                <w:tab w:val="left" w:pos="426"/>
              </w:tabs>
              <w:jc w:val="both"/>
              <w:rPr>
                <w:rFonts w:eastAsia="Calibri" w:cs="Arial"/>
                <w:sz w:val="20"/>
                <w:szCs w:val="20"/>
              </w:rPr>
            </w:pPr>
          </w:p>
        </w:tc>
      </w:tr>
      <w:tr w:rsidR="00701552" w:rsidTr="00701552">
        <w:tc>
          <w:tcPr>
            <w:tcW w:w="2933"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Communications Team</w:t>
            </w:r>
          </w:p>
        </w:tc>
        <w:tc>
          <w:tcPr>
            <w:tcW w:w="895"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No</w:t>
            </w:r>
          </w:p>
        </w:tc>
        <w:tc>
          <w:tcPr>
            <w:tcW w:w="4252" w:type="dxa"/>
            <w:tcBorders>
              <w:top w:val="single" w:sz="4" w:space="0" w:color="auto"/>
              <w:left w:val="single" w:sz="4" w:space="0" w:color="auto"/>
              <w:bottom w:val="single" w:sz="4" w:space="0" w:color="auto"/>
              <w:right w:val="single" w:sz="4" w:space="0" w:color="auto"/>
            </w:tcBorders>
          </w:tcPr>
          <w:p w:rsidR="00701552" w:rsidRDefault="00701552">
            <w:pPr>
              <w:tabs>
                <w:tab w:val="left" w:pos="426"/>
              </w:tabs>
              <w:jc w:val="both"/>
              <w:rPr>
                <w:rFonts w:eastAsia="Calibri" w:cs="Arial"/>
                <w:sz w:val="20"/>
                <w:szCs w:val="20"/>
              </w:rPr>
            </w:pPr>
          </w:p>
        </w:tc>
        <w:tc>
          <w:tcPr>
            <w:tcW w:w="1892" w:type="dxa"/>
            <w:tcBorders>
              <w:top w:val="single" w:sz="4" w:space="0" w:color="auto"/>
              <w:left w:val="single" w:sz="4" w:space="0" w:color="auto"/>
              <w:bottom w:val="single" w:sz="4" w:space="0" w:color="auto"/>
              <w:right w:val="single" w:sz="4" w:space="0" w:color="auto"/>
            </w:tcBorders>
          </w:tcPr>
          <w:p w:rsidR="00701552" w:rsidRDefault="00701552">
            <w:pPr>
              <w:tabs>
                <w:tab w:val="left" w:pos="426"/>
              </w:tabs>
              <w:jc w:val="both"/>
              <w:rPr>
                <w:rFonts w:eastAsia="Calibri" w:cs="Arial"/>
                <w:sz w:val="20"/>
                <w:szCs w:val="20"/>
              </w:rPr>
            </w:pPr>
          </w:p>
        </w:tc>
      </w:tr>
      <w:tr w:rsidR="00701552" w:rsidTr="00701552">
        <w:tc>
          <w:tcPr>
            <w:tcW w:w="2933"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Transport</w:t>
            </w:r>
          </w:p>
        </w:tc>
        <w:tc>
          <w:tcPr>
            <w:tcW w:w="895"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jc w:val="both"/>
              <w:rPr>
                <w:rFonts w:eastAsia="Calibri" w:cs="Arial"/>
                <w:sz w:val="20"/>
                <w:szCs w:val="20"/>
              </w:rPr>
            </w:pPr>
            <w:r>
              <w:rPr>
                <w:rFonts w:eastAsia="Calibri" w:cs="Arial"/>
                <w:sz w:val="20"/>
                <w:szCs w:val="20"/>
              </w:rPr>
              <w:t>No</w:t>
            </w:r>
          </w:p>
        </w:tc>
        <w:tc>
          <w:tcPr>
            <w:tcW w:w="4252" w:type="dxa"/>
            <w:tcBorders>
              <w:top w:val="single" w:sz="4" w:space="0" w:color="auto"/>
              <w:left w:val="single" w:sz="4" w:space="0" w:color="auto"/>
              <w:bottom w:val="single" w:sz="4" w:space="0" w:color="auto"/>
              <w:right w:val="single" w:sz="4" w:space="0" w:color="auto"/>
            </w:tcBorders>
          </w:tcPr>
          <w:p w:rsidR="00701552" w:rsidRDefault="00701552">
            <w:pPr>
              <w:tabs>
                <w:tab w:val="left" w:pos="426"/>
              </w:tabs>
              <w:jc w:val="both"/>
              <w:rPr>
                <w:rFonts w:eastAsia="Calibri" w:cs="Arial"/>
                <w:sz w:val="20"/>
                <w:szCs w:val="20"/>
              </w:rPr>
            </w:pPr>
          </w:p>
        </w:tc>
        <w:tc>
          <w:tcPr>
            <w:tcW w:w="1892" w:type="dxa"/>
            <w:tcBorders>
              <w:top w:val="single" w:sz="4" w:space="0" w:color="auto"/>
              <w:left w:val="single" w:sz="4" w:space="0" w:color="auto"/>
              <w:bottom w:val="single" w:sz="4" w:space="0" w:color="auto"/>
              <w:right w:val="single" w:sz="4" w:space="0" w:color="auto"/>
            </w:tcBorders>
          </w:tcPr>
          <w:p w:rsidR="00701552" w:rsidRDefault="00701552">
            <w:pPr>
              <w:tabs>
                <w:tab w:val="left" w:pos="426"/>
              </w:tabs>
              <w:jc w:val="both"/>
              <w:rPr>
                <w:rFonts w:eastAsia="Calibri" w:cs="Arial"/>
                <w:sz w:val="20"/>
                <w:szCs w:val="20"/>
              </w:rPr>
            </w:pPr>
          </w:p>
        </w:tc>
      </w:tr>
      <w:tr w:rsidR="00701552" w:rsidTr="00701552">
        <w:tc>
          <w:tcPr>
            <w:tcW w:w="2933"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rPr>
                <w:rFonts w:eastAsia="Calibri" w:cs="Arial"/>
                <w:sz w:val="20"/>
                <w:szCs w:val="20"/>
              </w:rPr>
            </w:pPr>
            <w:r>
              <w:rPr>
                <w:rFonts w:eastAsia="Calibri" w:cs="Arial"/>
                <w:sz w:val="20"/>
                <w:szCs w:val="20"/>
              </w:rPr>
              <w:t xml:space="preserve">Standards </w:t>
            </w:r>
            <w:r>
              <w:rPr>
                <w:rFonts w:eastAsia="Calibri" w:cs="Arial"/>
                <w:sz w:val="18"/>
                <w:szCs w:val="18"/>
              </w:rPr>
              <w:t>(fire, infection control etc.)</w:t>
            </w:r>
          </w:p>
        </w:tc>
        <w:tc>
          <w:tcPr>
            <w:tcW w:w="895" w:type="dxa"/>
            <w:tcBorders>
              <w:top w:val="single" w:sz="4" w:space="0" w:color="auto"/>
              <w:left w:val="single" w:sz="4" w:space="0" w:color="auto"/>
              <w:bottom w:val="single" w:sz="4" w:space="0" w:color="auto"/>
              <w:right w:val="single" w:sz="4" w:space="0" w:color="auto"/>
            </w:tcBorders>
            <w:hideMark/>
          </w:tcPr>
          <w:p w:rsidR="00701552" w:rsidRDefault="00701552">
            <w:pPr>
              <w:tabs>
                <w:tab w:val="left" w:pos="426"/>
              </w:tabs>
              <w:rPr>
                <w:rFonts w:eastAsia="Calibri" w:cs="Arial"/>
                <w:sz w:val="20"/>
                <w:szCs w:val="20"/>
              </w:rPr>
            </w:pPr>
            <w:r>
              <w:rPr>
                <w:rFonts w:eastAsia="Calibri" w:cs="Arial"/>
                <w:sz w:val="20"/>
                <w:szCs w:val="20"/>
              </w:rPr>
              <w:t>No</w:t>
            </w:r>
          </w:p>
        </w:tc>
        <w:tc>
          <w:tcPr>
            <w:tcW w:w="4252" w:type="dxa"/>
            <w:tcBorders>
              <w:top w:val="single" w:sz="4" w:space="0" w:color="auto"/>
              <w:left w:val="single" w:sz="4" w:space="0" w:color="auto"/>
              <w:bottom w:val="single" w:sz="4" w:space="0" w:color="auto"/>
              <w:right w:val="single" w:sz="4" w:space="0" w:color="auto"/>
            </w:tcBorders>
          </w:tcPr>
          <w:p w:rsidR="00701552" w:rsidRDefault="00701552">
            <w:pPr>
              <w:tabs>
                <w:tab w:val="left" w:pos="426"/>
              </w:tabs>
              <w:rPr>
                <w:rFonts w:eastAsia="Calibri" w:cs="Arial"/>
                <w:sz w:val="20"/>
                <w:szCs w:val="20"/>
              </w:rPr>
            </w:pPr>
          </w:p>
        </w:tc>
        <w:tc>
          <w:tcPr>
            <w:tcW w:w="1892" w:type="dxa"/>
            <w:tcBorders>
              <w:top w:val="single" w:sz="4" w:space="0" w:color="auto"/>
              <w:left w:val="single" w:sz="4" w:space="0" w:color="auto"/>
              <w:bottom w:val="single" w:sz="4" w:space="0" w:color="auto"/>
              <w:right w:val="single" w:sz="4" w:space="0" w:color="auto"/>
            </w:tcBorders>
          </w:tcPr>
          <w:p w:rsidR="00701552" w:rsidRDefault="00701552">
            <w:pPr>
              <w:tabs>
                <w:tab w:val="left" w:pos="426"/>
              </w:tabs>
              <w:rPr>
                <w:rFonts w:eastAsia="Calibri" w:cs="Arial"/>
                <w:sz w:val="20"/>
                <w:szCs w:val="20"/>
              </w:rPr>
            </w:pPr>
          </w:p>
        </w:tc>
      </w:tr>
    </w:tbl>
    <w:p w:rsidR="00701552" w:rsidRDefault="00701552" w:rsidP="00701552">
      <w:pPr>
        <w:autoSpaceDE w:val="0"/>
        <w:autoSpaceDN w:val="0"/>
        <w:adjustRightInd w:val="0"/>
        <w:rPr>
          <w:rFonts w:eastAsia="Times New Roman" w:cs="Arial"/>
          <w:color w:val="000000"/>
          <w:sz w:val="22"/>
          <w:lang w:eastAsia="en-GB"/>
        </w:rPr>
      </w:pPr>
    </w:p>
    <w:p w:rsidR="00701552" w:rsidRDefault="00701552" w:rsidP="00701552">
      <w:pPr>
        <w:autoSpaceDE w:val="0"/>
        <w:autoSpaceDN w:val="0"/>
        <w:adjustRightInd w:val="0"/>
        <w:rPr>
          <w:rFonts w:cs="Arial"/>
          <w:color w:val="000000"/>
          <w:sz w:val="22"/>
        </w:rPr>
      </w:pPr>
    </w:p>
    <w:p w:rsidR="00701552" w:rsidRDefault="00701552" w:rsidP="00B8621B">
      <w:pPr>
        <w:numPr>
          <w:ilvl w:val="0"/>
          <w:numId w:val="41"/>
        </w:numPr>
        <w:spacing w:after="200" w:line="276" w:lineRule="auto"/>
        <w:ind w:left="357" w:hanging="357"/>
        <w:outlineLvl w:val="0"/>
        <w:rPr>
          <w:rFonts w:cs="Arial"/>
          <w:b/>
          <w:color w:val="005EB8"/>
          <w:sz w:val="32"/>
          <w:szCs w:val="24"/>
        </w:rPr>
      </w:pPr>
      <w:bookmarkStart w:id="188" w:name="_Toc494718787"/>
      <w:bookmarkStart w:id="189" w:name="_Toc98324694"/>
      <w:bookmarkStart w:id="190" w:name="_Toc99880959"/>
      <w:bookmarkStart w:id="191" w:name="_Toc100070290"/>
      <w:bookmarkStart w:id="192" w:name="_Toc100307216"/>
      <w:bookmarkStart w:id="193" w:name="_Toc100307364"/>
      <w:bookmarkStart w:id="194" w:name="_Toc100318570"/>
      <w:bookmarkStart w:id="195" w:name="_Toc100320578"/>
      <w:bookmarkStart w:id="196" w:name="_Toc100341060"/>
      <w:bookmarkStart w:id="197" w:name="_Toc100569476"/>
      <w:bookmarkStart w:id="198" w:name="_Toc105493515"/>
      <w:bookmarkStart w:id="199" w:name="_Toc105665240"/>
      <w:r>
        <w:rPr>
          <w:rFonts w:cs="Arial"/>
          <w:b/>
          <w:color w:val="005EB8"/>
          <w:sz w:val="32"/>
        </w:rPr>
        <w:t>Financial outline</w:t>
      </w:r>
      <w:bookmarkEnd w:id="188"/>
      <w:r>
        <w:rPr>
          <w:rFonts w:cs="Arial"/>
          <w:b/>
          <w:color w:val="005EB8"/>
          <w:sz w:val="32"/>
        </w:rPr>
        <w:t xml:space="preserve"> </w:t>
      </w:r>
      <w:r>
        <w:rPr>
          <w:rFonts w:cs="Arial"/>
          <w:i/>
          <w:sz w:val="22"/>
        </w:rPr>
        <w:t>(financial template to be added as an appendix in later version)</w:t>
      </w:r>
      <w:bookmarkEnd w:id="189"/>
      <w:bookmarkEnd w:id="190"/>
      <w:bookmarkEnd w:id="191"/>
      <w:bookmarkEnd w:id="192"/>
      <w:bookmarkEnd w:id="193"/>
      <w:bookmarkEnd w:id="194"/>
      <w:bookmarkEnd w:id="195"/>
      <w:bookmarkEnd w:id="196"/>
      <w:bookmarkEnd w:id="197"/>
      <w:bookmarkEnd w:id="198"/>
      <w:bookmarkEnd w:id="199"/>
    </w:p>
    <w:p w:rsidR="00701552" w:rsidRDefault="00701552" w:rsidP="00701552">
      <w:pPr>
        <w:ind w:left="360"/>
        <w:rPr>
          <w:rFonts w:cs="Arial"/>
          <w:sz w:val="22"/>
        </w:rPr>
      </w:pPr>
      <w:r>
        <w:rPr>
          <w:rFonts w:cs="Arial"/>
          <w:sz w:val="22"/>
        </w:rPr>
        <w:t xml:space="preserve">Based on mid-points </w:t>
      </w:r>
      <w:proofErr w:type="spellStart"/>
      <w:r>
        <w:rPr>
          <w:rFonts w:cs="Arial"/>
          <w:sz w:val="22"/>
        </w:rPr>
        <w:t>AfC</w:t>
      </w:r>
      <w:proofErr w:type="spellEnd"/>
      <w:r>
        <w:rPr>
          <w:rFonts w:cs="Arial"/>
          <w:sz w:val="22"/>
        </w:rPr>
        <w:t xml:space="preserve"> Band 2 2023-24 £24,032.00</w:t>
      </w:r>
      <w:proofErr w:type="gramStart"/>
      <w:r>
        <w:rPr>
          <w:rFonts w:cs="Arial"/>
          <w:sz w:val="22"/>
        </w:rPr>
        <w:t xml:space="preserve">,  </w:t>
      </w:r>
      <w:proofErr w:type="spellStart"/>
      <w:r>
        <w:rPr>
          <w:rFonts w:cs="Arial"/>
          <w:sz w:val="22"/>
        </w:rPr>
        <w:t>AfC</w:t>
      </w:r>
      <w:proofErr w:type="spellEnd"/>
      <w:proofErr w:type="gramEnd"/>
      <w:r>
        <w:rPr>
          <w:rFonts w:cs="Arial"/>
          <w:sz w:val="22"/>
        </w:rPr>
        <w:t xml:space="preserve"> Band 3 2023-24 £25,700.00.</w:t>
      </w:r>
    </w:p>
    <w:p w:rsidR="00701552" w:rsidRDefault="00701552" w:rsidP="00701552">
      <w:pPr>
        <w:ind w:left="360"/>
        <w:rPr>
          <w:rFonts w:cs="Arial"/>
          <w:sz w:val="22"/>
        </w:rPr>
      </w:pPr>
    </w:p>
    <w:p w:rsidR="00701552" w:rsidRDefault="00701552" w:rsidP="00701552">
      <w:pPr>
        <w:ind w:left="360"/>
        <w:rPr>
          <w:rFonts w:cs="Arial"/>
          <w:sz w:val="22"/>
        </w:rPr>
      </w:pPr>
      <w:r>
        <w:rPr>
          <w:rFonts w:cs="Arial"/>
          <w:sz w:val="22"/>
        </w:rPr>
        <w:t xml:space="preserve">Salary figures with </w:t>
      </w:r>
      <w:proofErr w:type="gramStart"/>
      <w:r>
        <w:rPr>
          <w:rFonts w:cs="Arial"/>
          <w:sz w:val="22"/>
        </w:rPr>
        <w:t>On</w:t>
      </w:r>
      <w:proofErr w:type="gramEnd"/>
      <w:r>
        <w:rPr>
          <w:rFonts w:cs="Arial"/>
          <w:sz w:val="22"/>
        </w:rPr>
        <w:t xml:space="preserve"> costs calculated on current levels with a percentage of 2.9% uplift year on year </w:t>
      </w:r>
    </w:p>
    <w:p w:rsidR="00701552" w:rsidRDefault="00701552" w:rsidP="00701552">
      <w:pPr>
        <w:ind w:left="360"/>
        <w:rPr>
          <w:rFonts w:cs="Arial"/>
          <w:sz w:val="22"/>
        </w:rPr>
      </w:pPr>
    </w:p>
    <w:p w:rsidR="00701552" w:rsidRDefault="00701552" w:rsidP="00701552">
      <w:pPr>
        <w:ind w:left="360"/>
        <w:rPr>
          <w:rFonts w:cs="Arial"/>
          <w:sz w:val="22"/>
        </w:rPr>
      </w:pPr>
      <w:r>
        <w:rPr>
          <w:rFonts w:cs="Arial"/>
          <w:sz w:val="22"/>
        </w:rPr>
        <w:t>*</w:t>
      </w:r>
      <w:proofErr w:type="spellStart"/>
      <w:r>
        <w:rPr>
          <w:rFonts w:cs="Arial"/>
          <w:sz w:val="22"/>
        </w:rPr>
        <w:t>AfC</w:t>
      </w:r>
      <w:proofErr w:type="spellEnd"/>
      <w:r>
        <w:rPr>
          <w:rFonts w:cs="Arial"/>
          <w:sz w:val="22"/>
        </w:rPr>
        <w:t xml:space="preserve"> unsocial </w:t>
      </w:r>
      <w:proofErr w:type="gramStart"/>
      <w:r>
        <w:rPr>
          <w:rFonts w:cs="Arial"/>
          <w:sz w:val="22"/>
        </w:rPr>
        <w:t>hours</w:t>
      </w:r>
      <w:proofErr w:type="gramEnd"/>
      <w:r>
        <w:rPr>
          <w:rFonts w:cs="Arial"/>
          <w:sz w:val="22"/>
        </w:rPr>
        <w:t xml:space="preserve"> premium rates applied where applicable.</w:t>
      </w:r>
    </w:p>
    <w:p w:rsidR="00701552" w:rsidRDefault="00701552" w:rsidP="00701552">
      <w:pPr>
        <w:ind w:left="360"/>
        <w:rPr>
          <w:rFonts w:cs="Arial"/>
          <w:sz w:val="22"/>
        </w:rPr>
      </w:pPr>
    </w:p>
    <w:tbl>
      <w:tblPr>
        <w:tblW w:w="8940" w:type="dxa"/>
        <w:tblLook w:val="04A0" w:firstRow="1" w:lastRow="0" w:firstColumn="1" w:lastColumn="0" w:noHBand="0" w:noVBand="1"/>
      </w:tblPr>
      <w:tblGrid>
        <w:gridCol w:w="5120"/>
        <w:gridCol w:w="1380"/>
        <w:gridCol w:w="1220"/>
        <w:gridCol w:w="1220"/>
      </w:tblGrid>
      <w:tr w:rsidR="00701552" w:rsidTr="00701552">
        <w:trPr>
          <w:trHeight w:val="300"/>
        </w:trPr>
        <w:tc>
          <w:tcPr>
            <w:tcW w:w="5120" w:type="dxa"/>
            <w:noWrap/>
            <w:vAlign w:val="bottom"/>
            <w:hideMark/>
          </w:tcPr>
          <w:p w:rsidR="00701552" w:rsidRDefault="00701552">
            <w:pPr>
              <w:spacing w:line="276" w:lineRule="auto"/>
              <w:rPr>
                <w:rFonts w:cs="Arial"/>
                <w:color w:val="000000"/>
                <w:sz w:val="22"/>
              </w:rPr>
            </w:pPr>
            <w:r>
              <w:rPr>
                <w:rFonts w:cs="Arial"/>
                <w:color w:val="000000"/>
                <w:sz w:val="22"/>
              </w:rPr>
              <w:lastRenderedPageBreak/>
              <w:t>Option 1 : Diagnostic room within ED/UTC, run by ED/UTC staff, with 2 x Phlebotomist hours TBC</w:t>
            </w:r>
          </w:p>
        </w:tc>
        <w:tc>
          <w:tcPr>
            <w:tcW w:w="1380" w:type="dxa"/>
            <w:noWrap/>
            <w:vAlign w:val="bottom"/>
            <w:hideMark/>
          </w:tcPr>
          <w:p w:rsidR="00701552" w:rsidRDefault="00701552">
            <w:pPr>
              <w:rPr>
                <w:rFonts w:cs="Arial"/>
                <w:color w:val="000000"/>
                <w:sz w:val="22"/>
              </w:rPr>
            </w:pPr>
          </w:p>
        </w:tc>
        <w:tc>
          <w:tcPr>
            <w:tcW w:w="1220" w:type="dxa"/>
            <w:noWrap/>
            <w:vAlign w:val="bottom"/>
            <w:hideMark/>
          </w:tcPr>
          <w:p w:rsidR="00701552" w:rsidRDefault="00701552">
            <w:pPr>
              <w:spacing w:line="276" w:lineRule="auto"/>
              <w:rPr>
                <w:rFonts w:asciiTheme="minorHAnsi" w:hAnsiTheme="minorHAnsi"/>
                <w:sz w:val="20"/>
                <w:szCs w:val="20"/>
              </w:rPr>
            </w:pPr>
          </w:p>
        </w:tc>
        <w:tc>
          <w:tcPr>
            <w:tcW w:w="1220" w:type="dxa"/>
            <w:noWrap/>
            <w:vAlign w:val="bottom"/>
            <w:hideMark/>
          </w:tcPr>
          <w:p w:rsidR="00701552" w:rsidRDefault="00701552">
            <w:pPr>
              <w:spacing w:line="276" w:lineRule="auto"/>
              <w:rPr>
                <w:rFonts w:asciiTheme="minorHAnsi" w:hAnsiTheme="minorHAnsi"/>
                <w:sz w:val="20"/>
                <w:szCs w:val="20"/>
              </w:rPr>
            </w:pPr>
          </w:p>
        </w:tc>
      </w:tr>
      <w:tr w:rsidR="00701552" w:rsidTr="00701552">
        <w:trPr>
          <w:trHeight w:val="300"/>
        </w:trPr>
        <w:tc>
          <w:tcPr>
            <w:tcW w:w="5120" w:type="dxa"/>
            <w:noWrap/>
            <w:vAlign w:val="bottom"/>
            <w:hideMark/>
          </w:tcPr>
          <w:p w:rsidR="00701552" w:rsidRDefault="00701552">
            <w:pPr>
              <w:spacing w:line="276" w:lineRule="auto"/>
              <w:rPr>
                <w:rFonts w:eastAsia="Times New Roman" w:cs="Arial"/>
                <w:color w:val="000000"/>
                <w:sz w:val="22"/>
              </w:rPr>
            </w:pPr>
            <w:r>
              <w:rPr>
                <w:rFonts w:cs="Arial"/>
                <w:color w:val="000000"/>
                <w:sz w:val="22"/>
              </w:rPr>
              <w:t>Assumed start date 1</w:t>
            </w:r>
            <w:r>
              <w:rPr>
                <w:rFonts w:cs="Arial"/>
                <w:color w:val="000000"/>
                <w:sz w:val="22"/>
                <w:vertAlign w:val="superscript"/>
              </w:rPr>
              <w:t>st</w:t>
            </w:r>
            <w:r>
              <w:rPr>
                <w:rFonts w:cs="Arial"/>
                <w:color w:val="000000"/>
                <w:sz w:val="22"/>
              </w:rPr>
              <w:t xml:space="preserve"> April 2023</w:t>
            </w:r>
          </w:p>
        </w:tc>
        <w:tc>
          <w:tcPr>
            <w:tcW w:w="1380" w:type="dxa"/>
            <w:noWrap/>
            <w:vAlign w:val="bottom"/>
            <w:hideMark/>
          </w:tcPr>
          <w:p w:rsidR="00701552" w:rsidRDefault="00701552">
            <w:pPr>
              <w:rPr>
                <w:rFonts w:cs="Arial"/>
                <w:color w:val="000000"/>
                <w:sz w:val="22"/>
              </w:rPr>
            </w:pPr>
          </w:p>
        </w:tc>
        <w:tc>
          <w:tcPr>
            <w:tcW w:w="1220" w:type="dxa"/>
            <w:noWrap/>
            <w:vAlign w:val="bottom"/>
            <w:hideMark/>
          </w:tcPr>
          <w:p w:rsidR="00701552" w:rsidRDefault="00701552">
            <w:pPr>
              <w:spacing w:line="276" w:lineRule="auto"/>
              <w:rPr>
                <w:rFonts w:asciiTheme="minorHAnsi" w:hAnsiTheme="minorHAnsi"/>
                <w:sz w:val="20"/>
                <w:szCs w:val="20"/>
              </w:rPr>
            </w:pPr>
          </w:p>
        </w:tc>
        <w:tc>
          <w:tcPr>
            <w:tcW w:w="1220" w:type="dxa"/>
            <w:noWrap/>
            <w:vAlign w:val="bottom"/>
            <w:hideMark/>
          </w:tcPr>
          <w:p w:rsidR="00701552" w:rsidRDefault="00701552">
            <w:pPr>
              <w:spacing w:line="276" w:lineRule="auto"/>
              <w:rPr>
                <w:rFonts w:asciiTheme="minorHAnsi" w:hAnsiTheme="minorHAnsi"/>
                <w:sz w:val="20"/>
                <w:szCs w:val="20"/>
              </w:rPr>
            </w:pPr>
          </w:p>
        </w:tc>
      </w:tr>
      <w:tr w:rsidR="00701552" w:rsidTr="00701552">
        <w:trPr>
          <w:trHeight w:val="300"/>
        </w:trPr>
        <w:tc>
          <w:tcPr>
            <w:tcW w:w="5120" w:type="dxa"/>
            <w:noWrap/>
            <w:vAlign w:val="bottom"/>
            <w:hideMark/>
          </w:tcPr>
          <w:p w:rsidR="00701552" w:rsidRDefault="00701552">
            <w:pPr>
              <w:spacing w:line="276" w:lineRule="auto"/>
              <w:rPr>
                <w:rFonts w:eastAsia="Times New Roman" w:cs="Arial"/>
                <w:color w:val="000000"/>
                <w:sz w:val="22"/>
              </w:rPr>
            </w:pPr>
            <w:r>
              <w:rPr>
                <w:rFonts w:cs="Arial"/>
                <w:color w:val="000000"/>
                <w:sz w:val="22"/>
              </w:rPr>
              <w:t>No change in income or other costs</w:t>
            </w:r>
          </w:p>
        </w:tc>
        <w:tc>
          <w:tcPr>
            <w:tcW w:w="1380" w:type="dxa"/>
            <w:noWrap/>
            <w:vAlign w:val="bottom"/>
            <w:hideMark/>
          </w:tcPr>
          <w:p w:rsidR="00701552" w:rsidRDefault="00701552">
            <w:pPr>
              <w:rPr>
                <w:rFonts w:cs="Arial"/>
                <w:color w:val="000000"/>
                <w:sz w:val="22"/>
              </w:rPr>
            </w:pPr>
          </w:p>
        </w:tc>
        <w:tc>
          <w:tcPr>
            <w:tcW w:w="1220" w:type="dxa"/>
            <w:noWrap/>
            <w:vAlign w:val="bottom"/>
            <w:hideMark/>
          </w:tcPr>
          <w:p w:rsidR="00701552" w:rsidRDefault="00701552">
            <w:pPr>
              <w:spacing w:line="276" w:lineRule="auto"/>
              <w:rPr>
                <w:rFonts w:asciiTheme="minorHAnsi" w:hAnsiTheme="minorHAnsi"/>
                <w:sz w:val="20"/>
                <w:szCs w:val="20"/>
              </w:rPr>
            </w:pPr>
          </w:p>
        </w:tc>
        <w:tc>
          <w:tcPr>
            <w:tcW w:w="1220" w:type="dxa"/>
            <w:noWrap/>
            <w:vAlign w:val="bottom"/>
            <w:hideMark/>
          </w:tcPr>
          <w:p w:rsidR="00701552" w:rsidRDefault="00701552">
            <w:pPr>
              <w:spacing w:line="276" w:lineRule="auto"/>
              <w:rPr>
                <w:rFonts w:asciiTheme="minorHAnsi" w:hAnsiTheme="minorHAnsi"/>
                <w:sz w:val="20"/>
                <w:szCs w:val="20"/>
              </w:rPr>
            </w:pPr>
          </w:p>
        </w:tc>
      </w:tr>
      <w:tr w:rsidR="00701552" w:rsidTr="00701552">
        <w:trPr>
          <w:trHeight w:val="300"/>
        </w:trPr>
        <w:tc>
          <w:tcPr>
            <w:tcW w:w="5120" w:type="dxa"/>
            <w:noWrap/>
            <w:vAlign w:val="bottom"/>
            <w:hideMark/>
          </w:tcPr>
          <w:p w:rsidR="00701552" w:rsidRDefault="00701552">
            <w:pPr>
              <w:spacing w:line="276" w:lineRule="auto"/>
              <w:rPr>
                <w:rFonts w:eastAsia="Times New Roman" w:cs="Arial"/>
                <w:color w:val="000000"/>
                <w:sz w:val="22"/>
              </w:rPr>
            </w:pPr>
            <w:r>
              <w:rPr>
                <w:rFonts w:cs="Arial"/>
                <w:color w:val="000000"/>
                <w:sz w:val="22"/>
              </w:rPr>
              <w:t>Hours of clinical staff to be released TBC</w:t>
            </w:r>
          </w:p>
        </w:tc>
        <w:tc>
          <w:tcPr>
            <w:tcW w:w="1380" w:type="dxa"/>
            <w:noWrap/>
            <w:vAlign w:val="bottom"/>
            <w:hideMark/>
          </w:tcPr>
          <w:p w:rsidR="00701552" w:rsidRDefault="00701552">
            <w:pPr>
              <w:rPr>
                <w:rFonts w:cs="Arial"/>
                <w:color w:val="000000"/>
                <w:sz w:val="22"/>
              </w:rPr>
            </w:pPr>
          </w:p>
        </w:tc>
        <w:tc>
          <w:tcPr>
            <w:tcW w:w="1220" w:type="dxa"/>
            <w:noWrap/>
            <w:vAlign w:val="bottom"/>
            <w:hideMark/>
          </w:tcPr>
          <w:p w:rsidR="00701552" w:rsidRDefault="00701552">
            <w:pPr>
              <w:spacing w:line="276" w:lineRule="auto"/>
              <w:rPr>
                <w:rFonts w:asciiTheme="minorHAnsi" w:hAnsiTheme="minorHAnsi"/>
                <w:sz w:val="20"/>
                <w:szCs w:val="20"/>
              </w:rPr>
            </w:pPr>
          </w:p>
        </w:tc>
        <w:tc>
          <w:tcPr>
            <w:tcW w:w="1220" w:type="dxa"/>
            <w:noWrap/>
            <w:vAlign w:val="bottom"/>
            <w:hideMark/>
          </w:tcPr>
          <w:p w:rsidR="00701552" w:rsidRDefault="00701552">
            <w:pPr>
              <w:spacing w:line="276" w:lineRule="auto"/>
              <w:rPr>
                <w:rFonts w:asciiTheme="minorHAnsi" w:hAnsiTheme="minorHAnsi"/>
                <w:sz w:val="20"/>
                <w:szCs w:val="20"/>
              </w:rPr>
            </w:pPr>
          </w:p>
        </w:tc>
      </w:tr>
      <w:tr w:rsidR="00701552" w:rsidTr="00701552">
        <w:trPr>
          <w:trHeight w:val="300"/>
        </w:trPr>
        <w:tc>
          <w:tcPr>
            <w:tcW w:w="5120" w:type="dxa"/>
            <w:noWrap/>
            <w:vAlign w:val="bottom"/>
            <w:hideMark/>
          </w:tcPr>
          <w:p w:rsidR="00701552" w:rsidRDefault="00701552">
            <w:pPr>
              <w:spacing w:line="276" w:lineRule="auto"/>
              <w:rPr>
                <w:rFonts w:asciiTheme="minorHAnsi" w:hAnsiTheme="minorHAnsi"/>
                <w:sz w:val="20"/>
                <w:szCs w:val="20"/>
              </w:rPr>
            </w:pPr>
          </w:p>
        </w:tc>
        <w:tc>
          <w:tcPr>
            <w:tcW w:w="1380" w:type="dxa"/>
            <w:noWrap/>
            <w:vAlign w:val="bottom"/>
            <w:hideMark/>
          </w:tcPr>
          <w:p w:rsidR="00701552" w:rsidRDefault="00701552">
            <w:pPr>
              <w:spacing w:line="276" w:lineRule="auto"/>
              <w:rPr>
                <w:rFonts w:asciiTheme="minorHAnsi" w:hAnsiTheme="minorHAnsi"/>
                <w:sz w:val="20"/>
                <w:szCs w:val="20"/>
              </w:rPr>
            </w:pPr>
          </w:p>
        </w:tc>
        <w:tc>
          <w:tcPr>
            <w:tcW w:w="1220" w:type="dxa"/>
            <w:noWrap/>
            <w:vAlign w:val="bottom"/>
            <w:hideMark/>
          </w:tcPr>
          <w:p w:rsidR="00701552" w:rsidRDefault="00701552">
            <w:pPr>
              <w:spacing w:line="276" w:lineRule="auto"/>
              <w:rPr>
                <w:rFonts w:asciiTheme="minorHAnsi" w:hAnsiTheme="minorHAnsi"/>
                <w:sz w:val="20"/>
                <w:szCs w:val="20"/>
              </w:rPr>
            </w:pPr>
          </w:p>
        </w:tc>
        <w:tc>
          <w:tcPr>
            <w:tcW w:w="1220" w:type="dxa"/>
            <w:noWrap/>
            <w:vAlign w:val="bottom"/>
            <w:hideMark/>
          </w:tcPr>
          <w:p w:rsidR="00701552" w:rsidRDefault="00701552">
            <w:pPr>
              <w:spacing w:line="276" w:lineRule="auto"/>
              <w:rPr>
                <w:rFonts w:asciiTheme="minorHAnsi" w:hAnsiTheme="minorHAnsi"/>
                <w:sz w:val="20"/>
                <w:szCs w:val="20"/>
              </w:rPr>
            </w:pPr>
          </w:p>
        </w:tc>
      </w:tr>
      <w:tr w:rsidR="00701552" w:rsidTr="00701552">
        <w:trPr>
          <w:trHeight w:val="300"/>
        </w:trPr>
        <w:tc>
          <w:tcPr>
            <w:tcW w:w="5120" w:type="dxa"/>
            <w:tcBorders>
              <w:top w:val="single" w:sz="4" w:space="0" w:color="auto"/>
              <w:left w:val="single" w:sz="4" w:space="0" w:color="auto"/>
              <w:bottom w:val="single" w:sz="4" w:space="0" w:color="auto"/>
              <w:right w:val="single" w:sz="4" w:space="0" w:color="auto"/>
            </w:tcBorders>
            <w:vAlign w:val="center"/>
            <w:hideMark/>
          </w:tcPr>
          <w:p w:rsidR="00701552" w:rsidRDefault="00701552">
            <w:pPr>
              <w:spacing w:line="276" w:lineRule="auto"/>
              <w:jc w:val="center"/>
              <w:rPr>
                <w:rFonts w:eastAsia="Times New Roman" w:cs="Arial"/>
                <w:b/>
                <w:bCs/>
                <w:color w:val="000000"/>
                <w:sz w:val="22"/>
              </w:rPr>
            </w:pPr>
            <w:r>
              <w:rPr>
                <w:rFonts w:cs="Arial"/>
                <w:b/>
                <w:bCs/>
                <w:color w:val="000000"/>
                <w:sz w:val="22"/>
              </w:rPr>
              <w:t> </w:t>
            </w:r>
          </w:p>
        </w:tc>
        <w:tc>
          <w:tcPr>
            <w:tcW w:w="1380" w:type="dxa"/>
            <w:tcBorders>
              <w:top w:val="single" w:sz="4" w:space="0" w:color="auto"/>
              <w:left w:val="nil"/>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18"/>
                <w:szCs w:val="18"/>
              </w:rPr>
            </w:pPr>
            <w:r>
              <w:rPr>
                <w:rFonts w:cs="Arial"/>
                <w:b/>
                <w:bCs/>
                <w:color w:val="000000"/>
                <w:sz w:val="18"/>
                <w:szCs w:val="18"/>
              </w:rPr>
              <w:t>2023/24 (£)</w:t>
            </w:r>
          </w:p>
        </w:tc>
        <w:tc>
          <w:tcPr>
            <w:tcW w:w="1220" w:type="dxa"/>
            <w:tcBorders>
              <w:top w:val="single" w:sz="4" w:space="0" w:color="auto"/>
              <w:left w:val="nil"/>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18"/>
                <w:szCs w:val="18"/>
              </w:rPr>
            </w:pPr>
            <w:r>
              <w:rPr>
                <w:rFonts w:cs="Arial"/>
                <w:b/>
                <w:bCs/>
                <w:color w:val="000000"/>
                <w:sz w:val="18"/>
                <w:szCs w:val="18"/>
              </w:rPr>
              <w:t>2024/25 (£)</w:t>
            </w:r>
          </w:p>
        </w:tc>
        <w:tc>
          <w:tcPr>
            <w:tcW w:w="1220" w:type="dxa"/>
            <w:tcBorders>
              <w:top w:val="single" w:sz="4" w:space="0" w:color="auto"/>
              <w:left w:val="nil"/>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18"/>
                <w:szCs w:val="18"/>
              </w:rPr>
            </w:pPr>
            <w:r>
              <w:rPr>
                <w:rFonts w:cs="Arial"/>
                <w:b/>
                <w:bCs/>
                <w:color w:val="000000"/>
                <w:sz w:val="18"/>
                <w:szCs w:val="18"/>
              </w:rPr>
              <w:t>2021/22 (£)</w:t>
            </w:r>
          </w:p>
        </w:tc>
      </w:tr>
      <w:tr w:rsidR="00701552" w:rsidTr="00701552">
        <w:trPr>
          <w:trHeight w:val="300"/>
        </w:trPr>
        <w:tc>
          <w:tcPr>
            <w:tcW w:w="512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i/>
                <w:iCs/>
                <w:color w:val="000000"/>
                <w:sz w:val="22"/>
              </w:rPr>
            </w:pPr>
            <w:r>
              <w:rPr>
                <w:rFonts w:cs="Arial"/>
                <w:b/>
                <w:bCs/>
                <w:i/>
                <w:iCs/>
                <w:color w:val="000000"/>
                <w:sz w:val="22"/>
              </w:rPr>
              <w:t>Income</w:t>
            </w:r>
          </w:p>
        </w:tc>
        <w:tc>
          <w:tcPr>
            <w:tcW w:w="138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0</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0</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0</w:t>
            </w:r>
          </w:p>
        </w:tc>
      </w:tr>
      <w:tr w:rsidR="00701552" w:rsidTr="00701552">
        <w:trPr>
          <w:trHeight w:val="300"/>
        </w:trPr>
        <w:tc>
          <w:tcPr>
            <w:tcW w:w="512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i/>
                <w:iCs/>
                <w:color w:val="000000"/>
                <w:sz w:val="22"/>
              </w:rPr>
            </w:pPr>
            <w:r>
              <w:rPr>
                <w:rFonts w:cs="Arial"/>
                <w:b/>
                <w:bCs/>
                <w:i/>
                <w:iCs/>
                <w:color w:val="000000"/>
                <w:sz w:val="22"/>
              </w:rPr>
              <w:t xml:space="preserve">Revenue Cost: </w:t>
            </w:r>
          </w:p>
          <w:p w:rsidR="00701552" w:rsidRDefault="00701552">
            <w:pPr>
              <w:spacing w:line="276" w:lineRule="auto"/>
              <w:ind w:left="360"/>
              <w:rPr>
                <w:rFonts w:cs="Arial"/>
                <w:sz w:val="22"/>
                <w:szCs w:val="24"/>
              </w:rPr>
            </w:pPr>
            <w:r>
              <w:rPr>
                <w:rFonts w:cs="Arial"/>
                <w:color w:val="000000"/>
                <w:sz w:val="22"/>
              </w:rPr>
              <w:t xml:space="preserve">2 x WTE Band 2  </w:t>
            </w:r>
          </w:p>
        </w:tc>
        <w:tc>
          <w:tcPr>
            <w:tcW w:w="138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£48,064</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£48,064</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£48,064</w:t>
            </w:r>
          </w:p>
        </w:tc>
      </w:tr>
      <w:tr w:rsidR="00701552" w:rsidTr="00701552">
        <w:trPr>
          <w:trHeight w:val="300"/>
        </w:trPr>
        <w:tc>
          <w:tcPr>
            <w:tcW w:w="512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i/>
                <w:iCs/>
                <w:color w:val="000000"/>
                <w:sz w:val="22"/>
              </w:rPr>
            </w:pPr>
            <w:r>
              <w:rPr>
                <w:rFonts w:cs="Arial"/>
                <w:b/>
                <w:bCs/>
                <w:i/>
                <w:iCs/>
                <w:color w:val="000000"/>
                <w:sz w:val="22"/>
              </w:rPr>
              <w:t>Revenue Benefit: (Time released other staff)</w:t>
            </w:r>
          </w:p>
        </w:tc>
        <w:tc>
          <w:tcPr>
            <w:tcW w:w="138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r>
      <w:tr w:rsidR="00701552" w:rsidTr="00701552">
        <w:trPr>
          <w:trHeight w:val="300"/>
        </w:trPr>
        <w:tc>
          <w:tcPr>
            <w:tcW w:w="512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i/>
                <w:iCs/>
                <w:color w:val="000000"/>
                <w:sz w:val="22"/>
              </w:rPr>
            </w:pPr>
            <w:r>
              <w:rPr>
                <w:rFonts w:cs="Arial"/>
                <w:b/>
                <w:bCs/>
                <w:i/>
                <w:iCs/>
                <w:color w:val="000000"/>
                <w:sz w:val="22"/>
              </w:rPr>
              <w:t>Net Revenue Cost:</w:t>
            </w:r>
          </w:p>
        </w:tc>
        <w:tc>
          <w:tcPr>
            <w:tcW w:w="138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r>
      <w:tr w:rsidR="00701552" w:rsidTr="00701552">
        <w:trPr>
          <w:trHeight w:val="300"/>
        </w:trPr>
        <w:tc>
          <w:tcPr>
            <w:tcW w:w="512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i/>
                <w:iCs/>
                <w:color w:val="000000"/>
                <w:sz w:val="22"/>
              </w:rPr>
            </w:pPr>
            <w:r>
              <w:rPr>
                <w:rFonts w:cs="Arial"/>
                <w:b/>
                <w:bCs/>
                <w:i/>
                <w:iCs/>
                <w:color w:val="000000"/>
                <w:sz w:val="22"/>
              </w:rPr>
              <w:t>Non-recurrent costs</w:t>
            </w:r>
            <w:r>
              <w:rPr>
                <w:rFonts w:cs="Arial"/>
                <w:color w:val="000000"/>
                <w:sz w:val="22"/>
              </w:rPr>
              <w:t xml:space="preserve"> (one off costs)</w:t>
            </w:r>
          </w:p>
        </w:tc>
        <w:tc>
          <w:tcPr>
            <w:tcW w:w="138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0</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0</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0</w:t>
            </w:r>
          </w:p>
        </w:tc>
      </w:tr>
      <w:tr w:rsidR="00701552" w:rsidTr="00701552">
        <w:trPr>
          <w:trHeight w:val="300"/>
        </w:trPr>
        <w:tc>
          <w:tcPr>
            <w:tcW w:w="512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i/>
                <w:iCs/>
                <w:color w:val="000000"/>
                <w:sz w:val="22"/>
              </w:rPr>
            </w:pPr>
            <w:r>
              <w:rPr>
                <w:rFonts w:cs="Arial"/>
                <w:b/>
                <w:bCs/>
                <w:i/>
                <w:iCs/>
                <w:color w:val="000000"/>
                <w:sz w:val="22"/>
              </w:rPr>
              <w:t>Capital</w:t>
            </w:r>
          </w:p>
        </w:tc>
        <w:tc>
          <w:tcPr>
            <w:tcW w:w="138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22"/>
              </w:rPr>
            </w:pPr>
            <w:r>
              <w:rPr>
                <w:rFonts w:cs="Arial"/>
                <w:b/>
                <w:bCs/>
                <w:color w:val="000000"/>
                <w:sz w:val="22"/>
              </w:rPr>
              <w:t>0</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22"/>
              </w:rPr>
            </w:pPr>
            <w:r>
              <w:rPr>
                <w:rFonts w:cs="Arial"/>
                <w:b/>
                <w:bCs/>
                <w:color w:val="000000"/>
                <w:sz w:val="22"/>
              </w:rPr>
              <w:t>0</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22"/>
              </w:rPr>
            </w:pPr>
            <w:r>
              <w:rPr>
                <w:rFonts w:cs="Arial"/>
                <w:b/>
                <w:bCs/>
                <w:color w:val="000000"/>
                <w:sz w:val="22"/>
              </w:rPr>
              <w:t>0</w:t>
            </w:r>
          </w:p>
        </w:tc>
      </w:tr>
      <w:tr w:rsidR="00701552" w:rsidTr="00701552">
        <w:trPr>
          <w:trHeight w:val="300"/>
        </w:trPr>
        <w:tc>
          <w:tcPr>
            <w:tcW w:w="512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color w:val="000000"/>
                <w:sz w:val="22"/>
              </w:rPr>
            </w:pPr>
            <w:r>
              <w:rPr>
                <w:rFonts w:cs="Arial"/>
                <w:b/>
                <w:bCs/>
                <w:color w:val="000000"/>
                <w:sz w:val="22"/>
              </w:rPr>
              <w:t> </w:t>
            </w:r>
          </w:p>
        </w:tc>
        <w:tc>
          <w:tcPr>
            <w:tcW w:w="1380" w:type="dxa"/>
            <w:tcBorders>
              <w:top w:val="nil"/>
              <w:left w:val="nil"/>
              <w:bottom w:val="single" w:sz="4" w:space="0" w:color="auto"/>
              <w:right w:val="single" w:sz="4" w:space="0" w:color="auto"/>
            </w:tcBorders>
            <w:vAlign w:val="center"/>
            <w:hideMark/>
          </w:tcPr>
          <w:p w:rsidR="00701552" w:rsidRDefault="00701552">
            <w:pPr>
              <w:rPr>
                <w:rFonts w:cs="Arial"/>
                <w:b/>
                <w:bCs/>
                <w:color w:val="000000"/>
                <w:sz w:val="22"/>
              </w:rPr>
            </w:pP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rPr>
                <w:rFonts w:asciiTheme="minorHAnsi" w:hAnsiTheme="minorHAnsi"/>
                <w:sz w:val="20"/>
                <w:szCs w:val="20"/>
              </w:rPr>
            </w:pP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rPr>
                <w:rFonts w:asciiTheme="minorHAnsi" w:hAnsiTheme="minorHAnsi"/>
                <w:sz w:val="20"/>
                <w:szCs w:val="20"/>
              </w:rPr>
            </w:pPr>
          </w:p>
        </w:tc>
      </w:tr>
      <w:tr w:rsidR="00701552" w:rsidTr="00701552">
        <w:trPr>
          <w:trHeight w:val="300"/>
        </w:trPr>
        <w:tc>
          <w:tcPr>
            <w:tcW w:w="512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eastAsia="Times New Roman" w:cs="Arial"/>
                <w:b/>
                <w:bCs/>
                <w:color w:val="000000"/>
                <w:sz w:val="22"/>
              </w:rPr>
            </w:pPr>
            <w:r>
              <w:rPr>
                <w:rFonts w:cs="Arial"/>
                <w:b/>
                <w:bCs/>
                <w:color w:val="000000"/>
                <w:sz w:val="22"/>
              </w:rPr>
              <w:t>Total Expenditure (funding request)</w:t>
            </w:r>
          </w:p>
        </w:tc>
        <w:tc>
          <w:tcPr>
            <w:tcW w:w="138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r>
      <w:tr w:rsidR="00701552" w:rsidTr="00701552">
        <w:trPr>
          <w:trHeight w:val="300"/>
        </w:trPr>
        <w:tc>
          <w:tcPr>
            <w:tcW w:w="512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color w:val="000000"/>
                <w:sz w:val="22"/>
              </w:rPr>
            </w:pPr>
            <w:r>
              <w:rPr>
                <w:rFonts w:cs="Arial"/>
                <w:b/>
                <w:bCs/>
                <w:color w:val="000000"/>
                <w:sz w:val="22"/>
              </w:rPr>
              <w:t xml:space="preserve">Net Margin </w:t>
            </w:r>
          </w:p>
        </w:tc>
        <w:tc>
          <w:tcPr>
            <w:tcW w:w="138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NA</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NA</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NA</w:t>
            </w:r>
          </w:p>
        </w:tc>
      </w:tr>
      <w:tr w:rsidR="00701552" w:rsidTr="00701552">
        <w:trPr>
          <w:gridAfter w:val="3"/>
          <w:wAfter w:w="3820" w:type="dxa"/>
          <w:trHeight w:val="300"/>
        </w:trPr>
        <w:tc>
          <w:tcPr>
            <w:tcW w:w="5120" w:type="dxa"/>
            <w:noWrap/>
            <w:vAlign w:val="bottom"/>
          </w:tcPr>
          <w:p w:rsidR="00701552" w:rsidRDefault="00701552">
            <w:pPr>
              <w:spacing w:line="276" w:lineRule="auto"/>
              <w:rPr>
                <w:rFonts w:cs="Arial"/>
                <w:color w:val="000000"/>
                <w:sz w:val="22"/>
              </w:rPr>
            </w:pPr>
          </w:p>
          <w:p w:rsidR="00701552" w:rsidRDefault="00701552">
            <w:pPr>
              <w:spacing w:line="276" w:lineRule="auto"/>
              <w:rPr>
                <w:rFonts w:cs="Arial"/>
                <w:color w:val="000000"/>
                <w:sz w:val="22"/>
              </w:rPr>
            </w:pPr>
            <w:r>
              <w:rPr>
                <w:rFonts w:cs="Arial"/>
                <w:color w:val="000000"/>
                <w:sz w:val="22"/>
              </w:rPr>
              <w:t>Option 2 : Diagnostic room with POCT within ED/UTC, run by additional 6 Path Links staff 24/7, with 2 x Phlebotomist hours TBC</w:t>
            </w:r>
          </w:p>
        </w:tc>
      </w:tr>
      <w:tr w:rsidR="00701552" w:rsidTr="00701552">
        <w:trPr>
          <w:gridAfter w:val="3"/>
          <w:wAfter w:w="3820" w:type="dxa"/>
          <w:trHeight w:val="300"/>
        </w:trPr>
        <w:tc>
          <w:tcPr>
            <w:tcW w:w="5120" w:type="dxa"/>
            <w:noWrap/>
            <w:vAlign w:val="bottom"/>
            <w:hideMark/>
          </w:tcPr>
          <w:p w:rsidR="00701552" w:rsidRDefault="00701552">
            <w:pPr>
              <w:spacing w:line="276" w:lineRule="auto"/>
              <w:rPr>
                <w:rFonts w:cs="Arial"/>
                <w:color w:val="000000"/>
                <w:sz w:val="22"/>
              </w:rPr>
            </w:pPr>
            <w:r>
              <w:rPr>
                <w:rFonts w:cs="Arial"/>
                <w:color w:val="000000"/>
                <w:sz w:val="22"/>
              </w:rPr>
              <w:t>Assumed start date 1</w:t>
            </w:r>
            <w:r>
              <w:rPr>
                <w:rFonts w:cs="Arial"/>
                <w:color w:val="000000"/>
                <w:sz w:val="22"/>
                <w:vertAlign w:val="superscript"/>
              </w:rPr>
              <w:t>st</w:t>
            </w:r>
            <w:r>
              <w:rPr>
                <w:rFonts w:cs="Arial"/>
                <w:color w:val="000000"/>
                <w:sz w:val="22"/>
              </w:rPr>
              <w:t xml:space="preserve"> April 2023</w:t>
            </w:r>
          </w:p>
        </w:tc>
      </w:tr>
      <w:tr w:rsidR="00701552" w:rsidTr="00701552">
        <w:trPr>
          <w:gridAfter w:val="3"/>
          <w:wAfter w:w="3820" w:type="dxa"/>
          <w:trHeight w:val="300"/>
        </w:trPr>
        <w:tc>
          <w:tcPr>
            <w:tcW w:w="5120" w:type="dxa"/>
            <w:noWrap/>
            <w:vAlign w:val="bottom"/>
            <w:hideMark/>
          </w:tcPr>
          <w:p w:rsidR="00701552" w:rsidRDefault="00701552">
            <w:pPr>
              <w:spacing w:line="276" w:lineRule="auto"/>
              <w:rPr>
                <w:rFonts w:cs="Arial"/>
                <w:color w:val="000000"/>
                <w:sz w:val="22"/>
              </w:rPr>
            </w:pPr>
            <w:r>
              <w:rPr>
                <w:rFonts w:cs="Arial"/>
                <w:color w:val="000000"/>
                <w:sz w:val="22"/>
              </w:rPr>
              <w:t>No change in income or other costs</w:t>
            </w:r>
          </w:p>
        </w:tc>
      </w:tr>
      <w:tr w:rsidR="00701552" w:rsidTr="00701552">
        <w:trPr>
          <w:gridAfter w:val="3"/>
          <w:wAfter w:w="3820" w:type="dxa"/>
          <w:trHeight w:val="300"/>
        </w:trPr>
        <w:tc>
          <w:tcPr>
            <w:tcW w:w="5120" w:type="dxa"/>
            <w:noWrap/>
            <w:vAlign w:val="bottom"/>
            <w:hideMark/>
          </w:tcPr>
          <w:p w:rsidR="00701552" w:rsidRDefault="00701552">
            <w:pPr>
              <w:spacing w:line="276" w:lineRule="auto"/>
              <w:rPr>
                <w:rFonts w:cs="Arial"/>
                <w:color w:val="000000"/>
                <w:sz w:val="22"/>
              </w:rPr>
            </w:pPr>
            <w:r>
              <w:rPr>
                <w:rFonts w:cs="Arial"/>
                <w:color w:val="000000"/>
                <w:sz w:val="22"/>
              </w:rPr>
              <w:t>Hours of clinical staff to be released TBC</w:t>
            </w:r>
          </w:p>
        </w:tc>
      </w:tr>
    </w:tbl>
    <w:p w:rsidR="00701552" w:rsidRDefault="00701552" w:rsidP="00701552">
      <w:pPr>
        <w:spacing w:before="120"/>
        <w:rPr>
          <w:rFonts w:eastAsia="Times New Roman" w:cs="Arial"/>
          <w:sz w:val="22"/>
          <w:lang w:eastAsia="en-GB"/>
        </w:rPr>
      </w:pPr>
    </w:p>
    <w:tbl>
      <w:tblPr>
        <w:tblW w:w="8940" w:type="dxa"/>
        <w:tblLook w:val="04A0" w:firstRow="1" w:lastRow="0" w:firstColumn="1" w:lastColumn="0" w:noHBand="0" w:noVBand="1"/>
      </w:tblPr>
      <w:tblGrid>
        <w:gridCol w:w="5070"/>
        <w:gridCol w:w="1275"/>
        <w:gridCol w:w="1289"/>
        <w:gridCol w:w="1306"/>
      </w:tblGrid>
      <w:tr w:rsidR="00701552" w:rsidTr="00701552">
        <w:trPr>
          <w:trHeight w:val="300"/>
        </w:trPr>
        <w:tc>
          <w:tcPr>
            <w:tcW w:w="5070" w:type="dxa"/>
            <w:tcBorders>
              <w:top w:val="single" w:sz="4" w:space="0" w:color="auto"/>
              <w:left w:val="single" w:sz="4" w:space="0" w:color="auto"/>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22"/>
              </w:rPr>
            </w:pPr>
            <w:r>
              <w:rPr>
                <w:rFonts w:cs="Arial"/>
                <w:b/>
                <w:bCs/>
                <w:color w:val="000000"/>
                <w:sz w:val="22"/>
              </w:rPr>
              <w:t> </w:t>
            </w:r>
          </w:p>
        </w:tc>
        <w:tc>
          <w:tcPr>
            <w:tcW w:w="1275" w:type="dxa"/>
            <w:tcBorders>
              <w:top w:val="single" w:sz="4" w:space="0" w:color="auto"/>
              <w:left w:val="nil"/>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18"/>
                <w:szCs w:val="18"/>
              </w:rPr>
            </w:pPr>
            <w:r>
              <w:rPr>
                <w:rFonts w:cs="Arial"/>
                <w:b/>
                <w:bCs/>
                <w:color w:val="000000"/>
                <w:sz w:val="18"/>
                <w:szCs w:val="18"/>
              </w:rPr>
              <w:t>2023/24 (£)</w:t>
            </w:r>
          </w:p>
        </w:tc>
        <w:tc>
          <w:tcPr>
            <w:tcW w:w="1289" w:type="dxa"/>
            <w:tcBorders>
              <w:top w:val="single" w:sz="4" w:space="0" w:color="auto"/>
              <w:left w:val="nil"/>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18"/>
                <w:szCs w:val="18"/>
              </w:rPr>
            </w:pPr>
            <w:r>
              <w:rPr>
                <w:rFonts w:cs="Arial"/>
                <w:b/>
                <w:bCs/>
                <w:color w:val="000000"/>
                <w:sz w:val="18"/>
                <w:szCs w:val="18"/>
              </w:rPr>
              <w:t>2024/25 (£)</w:t>
            </w:r>
          </w:p>
        </w:tc>
        <w:tc>
          <w:tcPr>
            <w:tcW w:w="1306" w:type="dxa"/>
            <w:tcBorders>
              <w:top w:val="single" w:sz="4" w:space="0" w:color="auto"/>
              <w:left w:val="nil"/>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18"/>
                <w:szCs w:val="18"/>
              </w:rPr>
            </w:pPr>
            <w:r>
              <w:rPr>
                <w:rFonts w:cs="Arial"/>
                <w:b/>
                <w:bCs/>
                <w:color w:val="000000"/>
                <w:sz w:val="18"/>
                <w:szCs w:val="18"/>
              </w:rPr>
              <w:t>2021/22 (£)</w:t>
            </w:r>
          </w:p>
        </w:tc>
      </w:tr>
      <w:tr w:rsidR="00701552" w:rsidTr="00701552">
        <w:trPr>
          <w:trHeight w:val="300"/>
        </w:trPr>
        <w:tc>
          <w:tcPr>
            <w:tcW w:w="507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i/>
                <w:iCs/>
                <w:color w:val="000000"/>
                <w:sz w:val="22"/>
              </w:rPr>
            </w:pPr>
            <w:r>
              <w:rPr>
                <w:rFonts w:cs="Arial"/>
                <w:b/>
                <w:bCs/>
                <w:i/>
                <w:iCs/>
                <w:color w:val="000000"/>
                <w:sz w:val="22"/>
              </w:rPr>
              <w:t>Income</w:t>
            </w:r>
          </w:p>
        </w:tc>
        <w:tc>
          <w:tcPr>
            <w:tcW w:w="1275"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0</w:t>
            </w:r>
          </w:p>
        </w:tc>
        <w:tc>
          <w:tcPr>
            <w:tcW w:w="1289"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0</w:t>
            </w:r>
          </w:p>
        </w:tc>
        <w:tc>
          <w:tcPr>
            <w:tcW w:w="1306"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0</w:t>
            </w:r>
          </w:p>
        </w:tc>
      </w:tr>
      <w:tr w:rsidR="00701552" w:rsidTr="00701552">
        <w:trPr>
          <w:trHeight w:val="300"/>
        </w:trPr>
        <w:tc>
          <w:tcPr>
            <w:tcW w:w="5070" w:type="dxa"/>
            <w:tcBorders>
              <w:top w:val="nil"/>
              <w:left w:val="single" w:sz="4" w:space="0" w:color="auto"/>
              <w:bottom w:val="single" w:sz="4" w:space="0" w:color="auto"/>
              <w:right w:val="single" w:sz="4" w:space="0" w:color="auto"/>
            </w:tcBorders>
            <w:vAlign w:val="center"/>
          </w:tcPr>
          <w:p w:rsidR="00701552" w:rsidRDefault="00701552">
            <w:pPr>
              <w:spacing w:line="276" w:lineRule="auto"/>
              <w:jc w:val="both"/>
              <w:rPr>
                <w:rFonts w:cs="Arial"/>
                <w:b/>
                <w:bCs/>
                <w:i/>
                <w:iCs/>
                <w:color w:val="000000"/>
                <w:sz w:val="22"/>
              </w:rPr>
            </w:pPr>
            <w:r>
              <w:rPr>
                <w:rFonts w:cs="Arial"/>
                <w:b/>
                <w:bCs/>
                <w:i/>
                <w:iCs/>
                <w:color w:val="000000"/>
                <w:sz w:val="22"/>
              </w:rPr>
              <w:t xml:space="preserve">Revenue Cost: </w:t>
            </w:r>
          </w:p>
          <w:p w:rsidR="00701552" w:rsidRDefault="00701552" w:rsidP="00B8621B">
            <w:pPr>
              <w:pStyle w:val="ListParagraph"/>
              <w:numPr>
                <w:ilvl w:val="0"/>
                <w:numId w:val="49"/>
              </w:numPr>
              <w:spacing w:line="276" w:lineRule="auto"/>
              <w:jc w:val="center"/>
              <w:rPr>
                <w:rFonts w:cs="Arial"/>
                <w:sz w:val="22"/>
                <w:szCs w:val="24"/>
              </w:rPr>
            </w:pPr>
            <w:r>
              <w:rPr>
                <w:rFonts w:cs="Arial"/>
                <w:color w:val="000000"/>
                <w:sz w:val="22"/>
              </w:rPr>
              <w:t>x WTE Band 2</w:t>
            </w:r>
          </w:p>
          <w:p w:rsidR="00701552" w:rsidRDefault="00701552">
            <w:pPr>
              <w:spacing w:line="276" w:lineRule="auto"/>
              <w:jc w:val="both"/>
              <w:rPr>
                <w:rFonts w:cs="Arial"/>
                <w:color w:val="000000"/>
                <w:sz w:val="22"/>
              </w:rPr>
            </w:pPr>
          </w:p>
          <w:p w:rsidR="00701552" w:rsidRDefault="00701552">
            <w:pPr>
              <w:spacing w:line="276" w:lineRule="auto"/>
              <w:rPr>
                <w:rFonts w:cs="Arial"/>
                <w:sz w:val="22"/>
                <w:szCs w:val="24"/>
              </w:rPr>
            </w:pPr>
            <w:r>
              <w:rPr>
                <w:rFonts w:cs="Arial"/>
                <w:bCs/>
                <w:iCs/>
                <w:color w:val="000000"/>
                <w:sz w:val="22"/>
              </w:rPr>
              <w:t xml:space="preserve">6 x WTE Band 3 plus </w:t>
            </w:r>
            <w:r>
              <w:rPr>
                <w:rFonts w:cs="Arial"/>
                <w:sz w:val="22"/>
              </w:rPr>
              <w:t>*</w:t>
            </w:r>
            <w:proofErr w:type="spellStart"/>
            <w:r>
              <w:rPr>
                <w:rFonts w:cs="Arial"/>
                <w:sz w:val="22"/>
              </w:rPr>
              <w:t>AfC</w:t>
            </w:r>
            <w:proofErr w:type="spellEnd"/>
            <w:r>
              <w:rPr>
                <w:rFonts w:cs="Arial"/>
                <w:sz w:val="22"/>
              </w:rPr>
              <w:t xml:space="preserve"> unsocial hours premium rates applied where applicable approximately 25% £6,868.16 with year on year uplift.</w:t>
            </w:r>
          </w:p>
          <w:p w:rsidR="00701552" w:rsidRDefault="00701552">
            <w:pPr>
              <w:spacing w:line="276" w:lineRule="auto"/>
              <w:ind w:left="426"/>
              <w:rPr>
                <w:rFonts w:cs="Arial"/>
                <w:sz w:val="22"/>
              </w:rPr>
            </w:pPr>
          </w:p>
        </w:tc>
        <w:tc>
          <w:tcPr>
            <w:tcW w:w="1275" w:type="dxa"/>
            <w:tcBorders>
              <w:top w:val="nil"/>
              <w:left w:val="nil"/>
              <w:bottom w:val="single" w:sz="4" w:space="0" w:color="auto"/>
              <w:right w:val="single" w:sz="4" w:space="0" w:color="auto"/>
            </w:tcBorders>
            <w:vAlign w:val="center"/>
          </w:tcPr>
          <w:p w:rsidR="00701552" w:rsidRDefault="00701552">
            <w:pPr>
              <w:spacing w:line="276" w:lineRule="auto"/>
              <w:rPr>
                <w:rFonts w:cs="Arial"/>
                <w:bCs/>
                <w:iCs/>
                <w:color w:val="000000"/>
                <w:sz w:val="22"/>
              </w:rPr>
            </w:pPr>
            <w:r>
              <w:rPr>
                <w:rFonts w:cs="Arial"/>
                <w:color w:val="000000"/>
                <w:sz w:val="22"/>
              </w:rPr>
              <w:t>£48,064</w:t>
            </w:r>
          </w:p>
          <w:p w:rsidR="00701552" w:rsidRDefault="00701552">
            <w:pPr>
              <w:spacing w:line="276" w:lineRule="auto"/>
              <w:jc w:val="center"/>
              <w:rPr>
                <w:rFonts w:cs="Arial"/>
                <w:bCs/>
                <w:iCs/>
                <w:color w:val="000000"/>
                <w:sz w:val="22"/>
              </w:rPr>
            </w:pPr>
          </w:p>
          <w:p w:rsidR="00701552" w:rsidRDefault="00701552">
            <w:pPr>
              <w:spacing w:line="276" w:lineRule="auto"/>
              <w:jc w:val="center"/>
              <w:rPr>
                <w:rFonts w:cs="Arial"/>
                <w:bCs/>
                <w:iCs/>
                <w:color w:val="000000"/>
                <w:sz w:val="22"/>
              </w:rPr>
            </w:pPr>
          </w:p>
          <w:p w:rsidR="00701552" w:rsidRDefault="00701552">
            <w:pPr>
              <w:spacing w:line="276" w:lineRule="auto"/>
              <w:rPr>
                <w:rFonts w:cs="Arial"/>
                <w:sz w:val="22"/>
                <w:szCs w:val="24"/>
              </w:rPr>
            </w:pPr>
            <w:r>
              <w:rPr>
                <w:rFonts w:cs="Arial"/>
                <w:bCs/>
                <w:iCs/>
                <w:color w:val="000000"/>
                <w:sz w:val="22"/>
              </w:rPr>
              <w:t>£154,200</w:t>
            </w:r>
            <w:r>
              <w:rPr>
                <w:rFonts w:cs="Arial"/>
                <w:sz w:val="22"/>
              </w:rPr>
              <w:t>*</w:t>
            </w:r>
          </w:p>
          <w:p w:rsidR="00701552" w:rsidRDefault="00701552">
            <w:pPr>
              <w:spacing w:line="276" w:lineRule="auto"/>
              <w:jc w:val="center"/>
              <w:rPr>
                <w:rFonts w:cs="Arial"/>
                <w:color w:val="000000"/>
                <w:sz w:val="22"/>
              </w:rPr>
            </w:pPr>
          </w:p>
          <w:p w:rsidR="00701552" w:rsidRDefault="00701552">
            <w:pPr>
              <w:spacing w:line="276" w:lineRule="auto"/>
              <w:jc w:val="center"/>
              <w:rPr>
                <w:rFonts w:cs="Arial"/>
                <w:color w:val="000000"/>
                <w:sz w:val="22"/>
              </w:rPr>
            </w:pPr>
          </w:p>
          <w:p w:rsidR="00701552" w:rsidRDefault="00701552">
            <w:pPr>
              <w:spacing w:line="276" w:lineRule="auto"/>
              <w:rPr>
                <w:rFonts w:cs="Arial"/>
                <w:color w:val="000000"/>
                <w:sz w:val="22"/>
              </w:rPr>
            </w:pPr>
            <w:r>
              <w:rPr>
                <w:rFonts w:cs="Arial"/>
                <w:color w:val="000000"/>
                <w:sz w:val="22"/>
              </w:rPr>
              <w:t>£195,409</w:t>
            </w:r>
          </w:p>
        </w:tc>
        <w:tc>
          <w:tcPr>
            <w:tcW w:w="1289" w:type="dxa"/>
            <w:tcBorders>
              <w:top w:val="nil"/>
              <w:left w:val="nil"/>
              <w:bottom w:val="single" w:sz="4" w:space="0" w:color="auto"/>
              <w:right w:val="single" w:sz="4" w:space="0" w:color="auto"/>
            </w:tcBorders>
            <w:vAlign w:val="center"/>
          </w:tcPr>
          <w:p w:rsidR="00701552" w:rsidRDefault="00701552">
            <w:pPr>
              <w:spacing w:line="276" w:lineRule="auto"/>
              <w:rPr>
                <w:rFonts w:cs="Arial"/>
                <w:bCs/>
                <w:iCs/>
                <w:color w:val="000000"/>
                <w:sz w:val="22"/>
              </w:rPr>
            </w:pPr>
            <w:r>
              <w:rPr>
                <w:rFonts w:cs="Arial"/>
                <w:color w:val="000000"/>
                <w:sz w:val="22"/>
              </w:rPr>
              <w:t>£48,064</w:t>
            </w:r>
          </w:p>
          <w:p w:rsidR="00701552" w:rsidRDefault="00701552">
            <w:pPr>
              <w:spacing w:line="276" w:lineRule="auto"/>
              <w:jc w:val="center"/>
              <w:rPr>
                <w:rFonts w:cs="Arial"/>
                <w:bCs/>
                <w:iCs/>
                <w:color w:val="000000"/>
                <w:sz w:val="22"/>
              </w:rPr>
            </w:pPr>
          </w:p>
          <w:p w:rsidR="00701552" w:rsidRDefault="00701552">
            <w:pPr>
              <w:spacing w:line="276" w:lineRule="auto"/>
              <w:jc w:val="center"/>
              <w:rPr>
                <w:rFonts w:cs="Arial"/>
                <w:bCs/>
                <w:iCs/>
                <w:color w:val="000000"/>
                <w:sz w:val="22"/>
              </w:rPr>
            </w:pPr>
          </w:p>
          <w:p w:rsidR="00701552" w:rsidRDefault="00701552">
            <w:pPr>
              <w:spacing w:line="276" w:lineRule="auto"/>
              <w:rPr>
                <w:rFonts w:cs="Arial"/>
                <w:sz w:val="22"/>
                <w:szCs w:val="24"/>
              </w:rPr>
            </w:pPr>
            <w:r>
              <w:rPr>
                <w:rFonts w:cs="Arial"/>
                <w:bCs/>
                <w:iCs/>
                <w:color w:val="000000"/>
                <w:sz w:val="22"/>
              </w:rPr>
              <w:t>£154,200</w:t>
            </w:r>
            <w:r>
              <w:rPr>
                <w:rFonts w:cs="Arial"/>
                <w:sz w:val="22"/>
              </w:rPr>
              <w:t>*</w:t>
            </w:r>
          </w:p>
          <w:p w:rsidR="00701552" w:rsidRDefault="00701552">
            <w:pPr>
              <w:spacing w:line="276" w:lineRule="auto"/>
              <w:jc w:val="center"/>
              <w:rPr>
                <w:rFonts w:cs="Arial"/>
                <w:color w:val="000000"/>
                <w:sz w:val="22"/>
              </w:rPr>
            </w:pPr>
          </w:p>
          <w:p w:rsidR="00701552" w:rsidRDefault="00701552">
            <w:pPr>
              <w:spacing w:line="276" w:lineRule="auto"/>
              <w:jc w:val="center"/>
              <w:rPr>
                <w:rFonts w:cs="Arial"/>
                <w:color w:val="000000"/>
                <w:sz w:val="22"/>
              </w:rPr>
            </w:pPr>
          </w:p>
          <w:p w:rsidR="00701552" w:rsidRDefault="00701552">
            <w:pPr>
              <w:spacing w:line="276" w:lineRule="auto"/>
              <w:rPr>
                <w:rFonts w:cs="Arial"/>
                <w:color w:val="000000"/>
                <w:sz w:val="22"/>
              </w:rPr>
            </w:pPr>
            <w:r>
              <w:rPr>
                <w:rFonts w:cs="Arial"/>
                <w:color w:val="000000"/>
                <w:sz w:val="22"/>
              </w:rPr>
              <w:t>£195,409</w:t>
            </w:r>
          </w:p>
        </w:tc>
        <w:tc>
          <w:tcPr>
            <w:tcW w:w="1306" w:type="dxa"/>
            <w:tcBorders>
              <w:top w:val="nil"/>
              <w:left w:val="nil"/>
              <w:bottom w:val="single" w:sz="4" w:space="0" w:color="auto"/>
              <w:right w:val="single" w:sz="4" w:space="0" w:color="auto"/>
            </w:tcBorders>
            <w:vAlign w:val="center"/>
          </w:tcPr>
          <w:p w:rsidR="00701552" w:rsidRDefault="00701552">
            <w:pPr>
              <w:spacing w:line="276" w:lineRule="auto"/>
              <w:rPr>
                <w:rFonts w:cs="Arial"/>
                <w:bCs/>
                <w:iCs/>
                <w:color w:val="000000"/>
                <w:sz w:val="22"/>
              </w:rPr>
            </w:pPr>
            <w:r>
              <w:rPr>
                <w:rFonts w:cs="Arial"/>
                <w:color w:val="000000"/>
                <w:sz w:val="22"/>
              </w:rPr>
              <w:t>£48,064</w:t>
            </w:r>
          </w:p>
          <w:p w:rsidR="00701552" w:rsidRDefault="00701552">
            <w:pPr>
              <w:spacing w:line="276" w:lineRule="auto"/>
              <w:jc w:val="center"/>
              <w:rPr>
                <w:rFonts w:cs="Arial"/>
                <w:bCs/>
                <w:iCs/>
                <w:color w:val="000000"/>
                <w:sz w:val="22"/>
              </w:rPr>
            </w:pPr>
          </w:p>
          <w:p w:rsidR="00701552" w:rsidRDefault="00701552">
            <w:pPr>
              <w:spacing w:line="276" w:lineRule="auto"/>
              <w:jc w:val="center"/>
              <w:rPr>
                <w:rFonts w:cs="Arial"/>
                <w:bCs/>
                <w:iCs/>
                <w:color w:val="000000"/>
                <w:sz w:val="22"/>
              </w:rPr>
            </w:pPr>
          </w:p>
          <w:p w:rsidR="00701552" w:rsidRDefault="00701552">
            <w:pPr>
              <w:spacing w:line="276" w:lineRule="auto"/>
              <w:rPr>
                <w:rFonts w:cs="Arial"/>
                <w:sz w:val="22"/>
                <w:szCs w:val="24"/>
              </w:rPr>
            </w:pPr>
            <w:r>
              <w:rPr>
                <w:rFonts w:cs="Arial"/>
                <w:bCs/>
                <w:iCs/>
                <w:color w:val="000000"/>
                <w:sz w:val="22"/>
              </w:rPr>
              <w:t>£154,200</w:t>
            </w:r>
            <w:r>
              <w:rPr>
                <w:rFonts w:cs="Arial"/>
                <w:sz w:val="22"/>
              </w:rPr>
              <w:t>*</w:t>
            </w:r>
          </w:p>
          <w:p w:rsidR="00701552" w:rsidRDefault="00701552">
            <w:pPr>
              <w:spacing w:line="276" w:lineRule="auto"/>
              <w:jc w:val="center"/>
              <w:rPr>
                <w:rFonts w:cs="Arial"/>
                <w:color w:val="000000"/>
                <w:sz w:val="22"/>
              </w:rPr>
            </w:pPr>
          </w:p>
          <w:p w:rsidR="00701552" w:rsidRDefault="00701552">
            <w:pPr>
              <w:spacing w:line="276" w:lineRule="auto"/>
              <w:jc w:val="center"/>
              <w:rPr>
                <w:rFonts w:cs="Arial"/>
                <w:color w:val="000000"/>
                <w:sz w:val="22"/>
              </w:rPr>
            </w:pPr>
          </w:p>
          <w:p w:rsidR="00701552" w:rsidRDefault="00701552">
            <w:pPr>
              <w:spacing w:line="276" w:lineRule="auto"/>
              <w:rPr>
                <w:rFonts w:cs="Arial"/>
                <w:color w:val="000000"/>
                <w:sz w:val="22"/>
              </w:rPr>
            </w:pPr>
            <w:r>
              <w:rPr>
                <w:rFonts w:cs="Arial"/>
                <w:color w:val="000000"/>
                <w:sz w:val="22"/>
              </w:rPr>
              <w:t>£195,409</w:t>
            </w:r>
          </w:p>
        </w:tc>
      </w:tr>
      <w:tr w:rsidR="00701552" w:rsidTr="00701552">
        <w:trPr>
          <w:trHeight w:val="300"/>
        </w:trPr>
        <w:tc>
          <w:tcPr>
            <w:tcW w:w="507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i/>
                <w:iCs/>
                <w:color w:val="000000"/>
                <w:sz w:val="22"/>
              </w:rPr>
            </w:pPr>
            <w:r>
              <w:rPr>
                <w:rFonts w:cs="Arial"/>
                <w:b/>
                <w:bCs/>
                <w:i/>
                <w:iCs/>
                <w:color w:val="000000"/>
                <w:sz w:val="22"/>
              </w:rPr>
              <w:t>Revenue Benefit: (Time released other staff)</w:t>
            </w:r>
          </w:p>
        </w:tc>
        <w:tc>
          <w:tcPr>
            <w:tcW w:w="1275"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c>
          <w:tcPr>
            <w:tcW w:w="1289"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c>
          <w:tcPr>
            <w:tcW w:w="1306"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r>
      <w:tr w:rsidR="00701552" w:rsidTr="00701552">
        <w:trPr>
          <w:trHeight w:val="300"/>
        </w:trPr>
        <w:tc>
          <w:tcPr>
            <w:tcW w:w="507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i/>
                <w:iCs/>
                <w:color w:val="000000"/>
                <w:sz w:val="22"/>
              </w:rPr>
            </w:pPr>
            <w:r>
              <w:rPr>
                <w:rFonts w:cs="Arial"/>
                <w:b/>
                <w:bCs/>
                <w:i/>
                <w:iCs/>
                <w:color w:val="000000"/>
                <w:sz w:val="22"/>
              </w:rPr>
              <w:t>Net Revenue Cost:</w:t>
            </w:r>
          </w:p>
        </w:tc>
        <w:tc>
          <w:tcPr>
            <w:tcW w:w="1275"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c>
          <w:tcPr>
            <w:tcW w:w="1289"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c>
          <w:tcPr>
            <w:tcW w:w="1306"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r>
      <w:tr w:rsidR="00701552" w:rsidTr="00701552">
        <w:trPr>
          <w:trHeight w:val="300"/>
        </w:trPr>
        <w:tc>
          <w:tcPr>
            <w:tcW w:w="507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i/>
                <w:iCs/>
                <w:color w:val="000000"/>
                <w:sz w:val="22"/>
              </w:rPr>
            </w:pPr>
            <w:r>
              <w:rPr>
                <w:rFonts w:cs="Arial"/>
                <w:b/>
                <w:bCs/>
                <w:i/>
                <w:iCs/>
                <w:color w:val="000000"/>
                <w:sz w:val="22"/>
              </w:rPr>
              <w:t>Non-recurrent costs</w:t>
            </w:r>
            <w:r>
              <w:rPr>
                <w:rFonts w:cs="Arial"/>
                <w:color w:val="000000"/>
                <w:sz w:val="22"/>
              </w:rPr>
              <w:t xml:space="preserve"> (one off costs)</w:t>
            </w:r>
          </w:p>
        </w:tc>
        <w:tc>
          <w:tcPr>
            <w:tcW w:w="1275"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0</w:t>
            </w:r>
          </w:p>
        </w:tc>
        <w:tc>
          <w:tcPr>
            <w:tcW w:w="1289"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0</w:t>
            </w:r>
          </w:p>
        </w:tc>
        <w:tc>
          <w:tcPr>
            <w:tcW w:w="1306"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0</w:t>
            </w:r>
          </w:p>
        </w:tc>
      </w:tr>
      <w:tr w:rsidR="00701552" w:rsidTr="00701552">
        <w:trPr>
          <w:trHeight w:val="300"/>
        </w:trPr>
        <w:tc>
          <w:tcPr>
            <w:tcW w:w="507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i/>
                <w:iCs/>
                <w:color w:val="000000"/>
                <w:sz w:val="22"/>
              </w:rPr>
            </w:pPr>
            <w:r>
              <w:rPr>
                <w:rFonts w:cs="Arial"/>
                <w:b/>
                <w:bCs/>
                <w:i/>
                <w:iCs/>
                <w:color w:val="000000"/>
                <w:sz w:val="22"/>
              </w:rPr>
              <w:t>Capital</w:t>
            </w:r>
          </w:p>
        </w:tc>
        <w:tc>
          <w:tcPr>
            <w:tcW w:w="1275"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22"/>
              </w:rPr>
            </w:pPr>
            <w:r>
              <w:rPr>
                <w:rFonts w:cs="Arial"/>
                <w:b/>
                <w:bCs/>
                <w:color w:val="000000"/>
                <w:sz w:val="22"/>
              </w:rPr>
              <w:t>0</w:t>
            </w:r>
          </w:p>
        </w:tc>
        <w:tc>
          <w:tcPr>
            <w:tcW w:w="1289"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22"/>
              </w:rPr>
            </w:pPr>
            <w:r>
              <w:rPr>
                <w:rFonts w:cs="Arial"/>
                <w:b/>
                <w:bCs/>
                <w:color w:val="000000"/>
                <w:sz w:val="22"/>
              </w:rPr>
              <w:t>0</w:t>
            </w:r>
          </w:p>
        </w:tc>
        <w:tc>
          <w:tcPr>
            <w:tcW w:w="1306"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22"/>
              </w:rPr>
            </w:pPr>
            <w:r>
              <w:rPr>
                <w:rFonts w:cs="Arial"/>
                <w:b/>
                <w:bCs/>
                <w:color w:val="000000"/>
                <w:sz w:val="22"/>
              </w:rPr>
              <w:t>0</w:t>
            </w:r>
          </w:p>
        </w:tc>
      </w:tr>
      <w:tr w:rsidR="00701552" w:rsidTr="00701552">
        <w:trPr>
          <w:trHeight w:val="300"/>
        </w:trPr>
        <w:tc>
          <w:tcPr>
            <w:tcW w:w="507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color w:val="000000"/>
                <w:sz w:val="22"/>
              </w:rPr>
            </w:pPr>
            <w:r>
              <w:rPr>
                <w:rFonts w:cs="Arial"/>
                <w:b/>
                <w:bCs/>
                <w:color w:val="000000"/>
                <w:sz w:val="22"/>
              </w:rPr>
              <w:t> </w:t>
            </w:r>
          </w:p>
        </w:tc>
        <w:tc>
          <w:tcPr>
            <w:tcW w:w="1275" w:type="dxa"/>
            <w:tcBorders>
              <w:top w:val="nil"/>
              <w:left w:val="nil"/>
              <w:bottom w:val="single" w:sz="4" w:space="0" w:color="auto"/>
              <w:right w:val="single" w:sz="4" w:space="0" w:color="auto"/>
            </w:tcBorders>
            <w:vAlign w:val="center"/>
            <w:hideMark/>
          </w:tcPr>
          <w:p w:rsidR="00701552" w:rsidRDefault="00701552">
            <w:pPr>
              <w:rPr>
                <w:rFonts w:cs="Arial"/>
                <w:b/>
                <w:bCs/>
                <w:color w:val="000000"/>
                <w:sz w:val="22"/>
              </w:rPr>
            </w:pPr>
          </w:p>
        </w:tc>
        <w:tc>
          <w:tcPr>
            <w:tcW w:w="1289" w:type="dxa"/>
            <w:tcBorders>
              <w:top w:val="nil"/>
              <w:left w:val="nil"/>
              <w:bottom w:val="single" w:sz="4" w:space="0" w:color="auto"/>
              <w:right w:val="single" w:sz="4" w:space="0" w:color="auto"/>
            </w:tcBorders>
            <w:vAlign w:val="center"/>
            <w:hideMark/>
          </w:tcPr>
          <w:p w:rsidR="00701552" w:rsidRDefault="00701552">
            <w:pPr>
              <w:spacing w:line="276" w:lineRule="auto"/>
              <w:rPr>
                <w:rFonts w:asciiTheme="minorHAnsi" w:hAnsiTheme="minorHAnsi"/>
                <w:sz w:val="20"/>
                <w:szCs w:val="20"/>
              </w:rPr>
            </w:pPr>
          </w:p>
        </w:tc>
        <w:tc>
          <w:tcPr>
            <w:tcW w:w="1306" w:type="dxa"/>
            <w:tcBorders>
              <w:top w:val="nil"/>
              <w:left w:val="nil"/>
              <w:bottom w:val="single" w:sz="4" w:space="0" w:color="auto"/>
              <w:right w:val="single" w:sz="4" w:space="0" w:color="auto"/>
            </w:tcBorders>
            <w:vAlign w:val="center"/>
            <w:hideMark/>
          </w:tcPr>
          <w:p w:rsidR="00701552" w:rsidRDefault="00701552">
            <w:pPr>
              <w:spacing w:line="276" w:lineRule="auto"/>
              <w:rPr>
                <w:rFonts w:asciiTheme="minorHAnsi" w:hAnsiTheme="minorHAnsi"/>
                <w:sz w:val="20"/>
                <w:szCs w:val="20"/>
              </w:rPr>
            </w:pPr>
          </w:p>
        </w:tc>
      </w:tr>
      <w:tr w:rsidR="00701552" w:rsidTr="00701552">
        <w:trPr>
          <w:trHeight w:val="300"/>
        </w:trPr>
        <w:tc>
          <w:tcPr>
            <w:tcW w:w="507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eastAsia="Times New Roman" w:cs="Arial"/>
                <w:b/>
                <w:bCs/>
                <w:color w:val="000000"/>
                <w:sz w:val="22"/>
              </w:rPr>
            </w:pPr>
            <w:r>
              <w:rPr>
                <w:rFonts w:cs="Arial"/>
                <w:b/>
                <w:bCs/>
                <w:color w:val="000000"/>
                <w:sz w:val="22"/>
              </w:rPr>
              <w:t>Total Expenditure (funding request)</w:t>
            </w:r>
          </w:p>
        </w:tc>
        <w:tc>
          <w:tcPr>
            <w:tcW w:w="1275"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c>
          <w:tcPr>
            <w:tcW w:w="1289"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c>
          <w:tcPr>
            <w:tcW w:w="1306"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r>
      <w:tr w:rsidR="00701552" w:rsidTr="00701552">
        <w:trPr>
          <w:trHeight w:val="300"/>
        </w:trPr>
        <w:tc>
          <w:tcPr>
            <w:tcW w:w="507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color w:val="000000"/>
                <w:sz w:val="22"/>
              </w:rPr>
            </w:pPr>
            <w:r>
              <w:rPr>
                <w:rFonts w:cs="Arial"/>
                <w:b/>
                <w:bCs/>
                <w:color w:val="000000"/>
                <w:sz w:val="22"/>
              </w:rPr>
              <w:t xml:space="preserve">Net Margin </w:t>
            </w:r>
          </w:p>
        </w:tc>
        <w:tc>
          <w:tcPr>
            <w:tcW w:w="1275"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NA</w:t>
            </w:r>
          </w:p>
        </w:tc>
        <w:tc>
          <w:tcPr>
            <w:tcW w:w="1289"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NA</w:t>
            </w:r>
          </w:p>
        </w:tc>
        <w:tc>
          <w:tcPr>
            <w:tcW w:w="1306"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NA</w:t>
            </w:r>
          </w:p>
        </w:tc>
      </w:tr>
    </w:tbl>
    <w:p w:rsidR="00701552" w:rsidRDefault="00701552" w:rsidP="00701552">
      <w:pPr>
        <w:spacing w:before="120"/>
        <w:rPr>
          <w:rFonts w:eastAsia="Times New Roman" w:cs="Arial"/>
          <w:sz w:val="22"/>
          <w:szCs w:val="24"/>
          <w:lang w:eastAsia="en-GB"/>
        </w:rPr>
      </w:pPr>
    </w:p>
    <w:tbl>
      <w:tblPr>
        <w:tblW w:w="8940" w:type="dxa"/>
        <w:tblLook w:val="04A0" w:firstRow="1" w:lastRow="0" w:firstColumn="1" w:lastColumn="0" w:noHBand="0" w:noVBand="1"/>
      </w:tblPr>
      <w:tblGrid>
        <w:gridCol w:w="8940"/>
      </w:tblGrid>
      <w:tr w:rsidR="00701552" w:rsidTr="00701552">
        <w:trPr>
          <w:trHeight w:val="300"/>
        </w:trPr>
        <w:tc>
          <w:tcPr>
            <w:tcW w:w="5120" w:type="dxa"/>
            <w:noWrap/>
            <w:vAlign w:val="bottom"/>
            <w:hideMark/>
          </w:tcPr>
          <w:p w:rsidR="00701552" w:rsidRDefault="00701552">
            <w:pPr>
              <w:spacing w:line="276" w:lineRule="auto"/>
              <w:rPr>
                <w:rFonts w:cs="Arial"/>
                <w:sz w:val="22"/>
              </w:rPr>
            </w:pPr>
            <w:r>
              <w:rPr>
                <w:rFonts w:cs="Arial"/>
                <w:color w:val="000000"/>
                <w:sz w:val="22"/>
              </w:rPr>
              <w:lastRenderedPageBreak/>
              <w:t xml:space="preserve">Option </w:t>
            </w:r>
            <w:proofErr w:type="gramStart"/>
            <w:r>
              <w:rPr>
                <w:rFonts w:cs="Arial"/>
                <w:color w:val="000000"/>
                <w:sz w:val="22"/>
              </w:rPr>
              <w:t>3 :</w:t>
            </w:r>
            <w:proofErr w:type="gramEnd"/>
            <w:r>
              <w:rPr>
                <w:rFonts w:cs="Arial"/>
                <w:color w:val="000000"/>
                <w:sz w:val="22"/>
              </w:rPr>
              <w:t xml:space="preserve"> </w:t>
            </w:r>
            <w:proofErr w:type="spellStart"/>
            <w:r>
              <w:rPr>
                <w:rFonts w:cs="Arial"/>
                <w:sz w:val="22"/>
              </w:rPr>
              <w:t>Ultilise</w:t>
            </w:r>
            <w:proofErr w:type="spellEnd"/>
            <w:r>
              <w:rPr>
                <w:rFonts w:cs="Arial"/>
                <w:sz w:val="22"/>
              </w:rPr>
              <w:t xml:space="preserve"> the onsite Path Links Laboratory, addition of </w:t>
            </w:r>
            <w:r>
              <w:rPr>
                <w:rFonts w:cs="Arial"/>
                <w:color w:val="000000"/>
                <w:sz w:val="22"/>
              </w:rPr>
              <w:t xml:space="preserve"> 2 x Phlebotomist and 1 Porter</w:t>
            </w:r>
            <w:r>
              <w:rPr>
                <w:rFonts w:cs="Arial"/>
                <w:sz w:val="22"/>
              </w:rPr>
              <w:t xml:space="preserve"> with the ED/UTC hours TBC.</w:t>
            </w:r>
          </w:p>
        </w:tc>
      </w:tr>
      <w:tr w:rsidR="00701552" w:rsidTr="00701552">
        <w:trPr>
          <w:trHeight w:val="300"/>
        </w:trPr>
        <w:tc>
          <w:tcPr>
            <w:tcW w:w="5120" w:type="dxa"/>
            <w:noWrap/>
            <w:vAlign w:val="bottom"/>
            <w:hideMark/>
          </w:tcPr>
          <w:p w:rsidR="00701552" w:rsidRDefault="00701552">
            <w:pPr>
              <w:spacing w:line="276" w:lineRule="auto"/>
              <w:rPr>
                <w:rFonts w:cs="Arial"/>
                <w:color w:val="000000"/>
                <w:sz w:val="22"/>
              </w:rPr>
            </w:pPr>
            <w:r>
              <w:rPr>
                <w:rFonts w:cs="Arial"/>
                <w:color w:val="000000"/>
                <w:sz w:val="22"/>
              </w:rPr>
              <w:t>Assumed start date 1</w:t>
            </w:r>
            <w:r>
              <w:rPr>
                <w:rFonts w:cs="Arial"/>
                <w:color w:val="000000"/>
                <w:sz w:val="22"/>
                <w:vertAlign w:val="superscript"/>
              </w:rPr>
              <w:t>st</w:t>
            </w:r>
            <w:r>
              <w:rPr>
                <w:rFonts w:cs="Arial"/>
                <w:color w:val="000000"/>
                <w:sz w:val="22"/>
              </w:rPr>
              <w:t xml:space="preserve"> April 2023</w:t>
            </w:r>
          </w:p>
        </w:tc>
      </w:tr>
      <w:tr w:rsidR="00701552" w:rsidTr="00701552">
        <w:trPr>
          <w:trHeight w:val="300"/>
        </w:trPr>
        <w:tc>
          <w:tcPr>
            <w:tcW w:w="5120" w:type="dxa"/>
            <w:noWrap/>
            <w:vAlign w:val="bottom"/>
            <w:hideMark/>
          </w:tcPr>
          <w:p w:rsidR="00701552" w:rsidRDefault="00701552">
            <w:pPr>
              <w:spacing w:line="276" w:lineRule="auto"/>
              <w:rPr>
                <w:rFonts w:cs="Arial"/>
                <w:color w:val="000000"/>
                <w:sz w:val="22"/>
              </w:rPr>
            </w:pPr>
            <w:r>
              <w:rPr>
                <w:rFonts w:cs="Arial"/>
                <w:color w:val="000000"/>
                <w:sz w:val="22"/>
              </w:rPr>
              <w:t>No change in income or other costs</w:t>
            </w:r>
          </w:p>
        </w:tc>
      </w:tr>
      <w:tr w:rsidR="00701552" w:rsidTr="00701552">
        <w:trPr>
          <w:trHeight w:val="300"/>
        </w:trPr>
        <w:tc>
          <w:tcPr>
            <w:tcW w:w="5120" w:type="dxa"/>
            <w:noWrap/>
            <w:vAlign w:val="bottom"/>
            <w:hideMark/>
          </w:tcPr>
          <w:p w:rsidR="00701552" w:rsidRDefault="00701552">
            <w:pPr>
              <w:spacing w:line="276" w:lineRule="auto"/>
              <w:rPr>
                <w:rFonts w:cs="Arial"/>
                <w:color w:val="000000"/>
                <w:sz w:val="22"/>
              </w:rPr>
            </w:pPr>
            <w:r>
              <w:rPr>
                <w:rFonts w:cs="Arial"/>
                <w:color w:val="000000"/>
                <w:sz w:val="22"/>
              </w:rPr>
              <w:t>Hours of clinical staff to be released TBC</w:t>
            </w:r>
          </w:p>
        </w:tc>
      </w:tr>
    </w:tbl>
    <w:p w:rsidR="00701552" w:rsidRDefault="00701552" w:rsidP="00701552">
      <w:pPr>
        <w:spacing w:before="120"/>
        <w:rPr>
          <w:rFonts w:eastAsia="Times New Roman" w:cs="Arial"/>
          <w:sz w:val="22"/>
          <w:szCs w:val="24"/>
          <w:lang w:eastAsia="en-GB"/>
        </w:rPr>
      </w:pPr>
    </w:p>
    <w:tbl>
      <w:tblPr>
        <w:tblW w:w="8940" w:type="dxa"/>
        <w:tblLook w:val="04A0" w:firstRow="1" w:lastRow="0" w:firstColumn="1" w:lastColumn="0" w:noHBand="0" w:noVBand="1"/>
      </w:tblPr>
      <w:tblGrid>
        <w:gridCol w:w="5120"/>
        <w:gridCol w:w="1380"/>
        <w:gridCol w:w="1220"/>
        <w:gridCol w:w="1220"/>
      </w:tblGrid>
      <w:tr w:rsidR="00701552" w:rsidTr="00701552">
        <w:trPr>
          <w:trHeight w:val="300"/>
        </w:trPr>
        <w:tc>
          <w:tcPr>
            <w:tcW w:w="5120" w:type="dxa"/>
            <w:tcBorders>
              <w:top w:val="single" w:sz="4" w:space="0" w:color="auto"/>
              <w:left w:val="single" w:sz="4" w:space="0" w:color="auto"/>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22"/>
              </w:rPr>
            </w:pPr>
            <w:r>
              <w:rPr>
                <w:rFonts w:cs="Arial"/>
                <w:b/>
                <w:bCs/>
                <w:color w:val="000000"/>
                <w:sz w:val="22"/>
              </w:rPr>
              <w:t> </w:t>
            </w:r>
          </w:p>
        </w:tc>
        <w:tc>
          <w:tcPr>
            <w:tcW w:w="1380" w:type="dxa"/>
            <w:tcBorders>
              <w:top w:val="single" w:sz="4" w:space="0" w:color="auto"/>
              <w:left w:val="nil"/>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18"/>
                <w:szCs w:val="18"/>
              </w:rPr>
            </w:pPr>
            <w:r>
              <w:rPr>
                <w:rFonts w:cs="Arial"/>
                <w:b/>
                <w:bCs/>
                <w:color w:val="000000"/>
                <w:sz w:val="18"/>
                <w:szCs w:val="18"/>
              </w:rPr>
              <w:t>2023/24 (£)</w:t>
            </w:r>
          </w:p>
        </w:tc>
        <w:tc>
          <w:tcPr>
            <w:tcW w:w="1220" w:type="dxa"/>
            <w:tcBorders>
              <w:top w:val="single" w:sz="4" w:space="0" w:color="auto"/>
              <w:left w:val="nil"/>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18"/>
                <w:szCs w:val="18"/>
              </w:rPr>
            </w:pPr>
            <w:r>
              <w:rPr>
                <w:rFonts w:cs="Arial"/>
                <w:b/>
                <w:bCs/>
                <w:color w:val="000000"/>
                <w:sz w:val="18"/>
                <w:szCs w:val="18"/>
              </w:rPr>
              <w:t>2024/25 (£)</w:t>
            </w:r>
          </w:p>
        </w:tc>
        <w:tc>
          <w:tcPr>
            <w:tcW w:w="1220" w:type="dxa"/>
            <w:tcBorders>
              <w:top w:val="single" w:sz="4" w:space="0" w:color="auto"/>
              <w:left w:val="nil"/>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18"/>
                <w:szCs w:val="18"/>
              </w:rPr>
            </w:pPr>
            <w:r>
              <w:rPr>
                <w:rFonts w:cs="Arial"/>
                <w:b/>
                <w:bCs/>
                <w:color w:val="000000"/>
                <w:sz w:val="18"/>
                <w:szCs w:val="18"/>
              </w:rPr>
              <w:t>2021/22 (£)</w:t>
            </w:r>
          </w:p>
        </w:tc>
      </w:tr>
      <w:tr w:rsidR="00701552" w:rsidTr="00701552">
        <w:trPr>
          <w:trHeight w:val="300"/>
        </w:trPr>
        <w:tc>
          <w:tcPr>
            <w:tcW w:w="512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i/>
                <w:iCs/>
                <w:color w:val="000000"/>
                <w:sz w:val="22"/>
              </w:rPr>
            </w:pPr>
            <w:r>
              <w:rPr>
                <w:rFonts w:cs="Arial"/>
                <w:b/>
                <w:bCs/>
                <w:i/>
                <w:iCs/>
                <w:color w:val="000000"/>
                <w:sz w:val="22"/>
              </w:rPr>
              <w:t>Income</w:t>
            </w:r>
          </w:p>
        </w:tc>
        <w:tc>
          <w:tcPr>
            <w:tcW w:w="138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0</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0</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0</w:t>
            </w:r>
          </w:p>
        </w:tc>
      </w:tr>
      <w:tr w:rsidR="00701552" w:rsidTr="00701552">
        <w:trPr>
          <w:trHeight w:val="300"/>
        </w:trPr>
        <w:tc>
          <w:tcPr>
            <w:tcW w:w="512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i/>
                <w:iCs/>
                <w:color w:val="000000"/>
                <w:sz w:val="22"/>
              </w:rPr>
            </w:pPr>
            <w:r>
              <w:rPr>
                <w:rFonts w:cs="Arial"/>
                <w:b/>
                <w:bCs/>
                <w:i/>
                <w:iCs/>
                <w:color w:val="000000"/>
                <w:sz w:val="22"/>
              </w:rPr>
              <w:t xml:space="preserve">Revenue Cost: </w:t>
            </w:r>
          </w:p>
          <w:p w:rsidR="00701552" w:rsidRDefault="00701552">
            <w:pPr>
              <w:spacing w:line="276" w:lineRule="auto"/>
              <w:jc w:val="both"/>
              <w:rPr>
                <w:rFonts w:cs="Arial"/>
                <w:sz w:val="22"/>
                <w:szCs w:val="24"/>
              </w:rPr>
            </w:pPr>
            <w:r>
              <w:rPr>
                <w:rFonts w:cs="Arial"/>
                <w:color w:val="000000"/>
                <w:sz w:val="22"/>
              </w:rPr>
              <w:t xml:space="preserve">3 x WTE Band 2 </w:t>
            </w:r>
          </w:p>
        </w:tc>
        <w:tc>
          <w:tcPr>
            <w:tcW w:w="138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£72,096</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£72,096</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£72,096</w:t>
            </w:r>
          </w:p>
        </w:tc>
      </w:tr>
      <w:tr w:rsidR="00701552" w:rsidTr="00701552">
        <w:trPr>
          <w:trHeight w:val="300"/>
        </w:trPr>
        <w:tc>
          <w:tcPr>
            <w:tcW w:w="512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i/>
                <w:iCs/>
                <w:color w:val="000000"/>
                <w:sz w:val="22"/>
              </w:rPr>
            </w:pPr>
            <w:r>
              <w:rPr>
                <w:rFonts w:cs="Arial"/>
                <w:b/>
                <w:bCs/>
                <w:i/>
                <w:iCs/>
                <w:color w:val="000000"/>
                <w:sz w:val="22"/>
              </w:rPr>
              <w:t>Revenue Benefit: (Time released other staff)</w:t>
            </w:r>
          </w:p>
        </w:tc>
        <w:tc>
          <w:tcPr>
            <w:tcW w:w="138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r>
      <w:tr w:rsidR="00701552" w:rsidTr="00701552">
        <w:trPr>
          <w:trHeight w:val="300"/>
        </w:trPr>
        <w:tc>
          <w:tcPr>
            <w:tcW w:w="512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i/>
                <w:iCs/>
                <w:color w:val="000000"/>
                <w:sz w:val="22"/>
              </w:rPr>
            </w:pPr>
            <w:r>
              <w:rPr>
                <w:rFonts w:cs="Arial"/>
                <w:b/>
                <w:bCs/>
                <w:i/>
                <w:iCs/>
                <w:color w:val="000000"/>
                <w:sz w:val="22"/>
              </w:rPr>
              <w:t>Net Revenue Cost:</w:t>
            </w:r>
          </w:p>
        </w:tc>
        <w:tc>
          <w:tcPr>
            <w:tcW w:w="138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r>
      <w:tr w:rsidR="00701552" w:rsidTr="00701552">
        <w:trPr>
          <w:trHeight w:val="300"/>
        </w:trPr>
        <w:tc>
          <w:tcPr>
            <w:tcW w:w="512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i/>
                <w:iCs/>
                <w:color w:val="000000"/>
                <w:sz w:val="22"/>
              </w:rPr>
            </w:pPr>
            <w:r>
              <w:rPr>
                <w:rFonts w:cs="Arial"/>
                <w:b/>
                <w:bCs/>
                <w:i/>
                <w:iCs/>
                <w:color w:val="000000"/>
                <w:sz w:val="22"/>
              </w:rPr>
              <w:t>Non-recurrent costs</w:t>
            </w:r>
            <w:r>
              <w:rPr>
                <w:rFonts w:cs="Arial"/>
                <w:color w:val="000000"/>
                <w:sz w:val="22"/>
              </w:rPr>
              <w:t xml:space="preserve"> (one off costs)</w:t>
            </w:r>
          </w:p>
        </w:tc>
        <w:tc>
          <w:tcPr>
            <w:tcW w:w="138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0</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0</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0</w:t>
            </w:r>
          </w:p>
        </w:tc>
      </w:tr>
      <w:tr w:rsidR="00701552" w:rsidTr="00701552">
        <w:trPr>
          <w:trHeight w:val="300"/>
        </w:trPr>
        <w:tc>
          <w:tcPr>
            <w:tcW w:w="512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i/>
                <w:iCs/>
                <w:color w:val="000000"/>
                <w:sz w:val="22"/>
              </w:rPr>
            </w:pPr>
            <w:r>
              <w:rPr>
                <w:rFonts w:cs="Arial"/>
                <w:b/>
                <w:bCs/>
                <w:i/>
                <w:iCs/>
                <w:color w:val="000000"/>
                <w:sz w:val="22"/>
              </w:rPr>
              <w:t>Capital</w:t>
            </w:r>
          </w:p>
        </w:tc>
        <w:tc>
          <w:tcPr>
            <w:tcW w:w="138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22"/>
              </w:rPr>
            </w:pPr>
            <w:r>
              <w:rPr>
                <w:rFonts w:cs="Arial"/>
                <w:b/>
                <w:bCs/>
                <w:color w:val="000000"/>
                <w:sz w:val="22"/>
              </w:rPr>
              <w:t>0</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22"/>
              </w:rPr>
            </w:pPr>
            <w:r>
              <w:rPr>
                <w:rFonts w:cs="Arial"/>
                <w:b/>
                <w:bCs/>
                <w:color w:val="000000"/>
                <w:sz w:val="22"/>
              </w:rPr>
              <w:t>0</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b/>
                <w:bCs/>
                <w:color w:val="000000"/>
                <w:sz w:val="22"/>
              </w:rPr>
            </w:pPr>
            <w:r>
              <w:rPr>
                <w:rFonts w:cs="Arial"/>
                <w:b/>
                <w:bCs/>
                <w:color w:val="000000"/>
                <w:sz w:val="22"/>
              </w:rPr>
              <w:t>0</w:t>
            </w:r>
          </w:p>
        </w:tc>
      </w:tr>
      <w:tr w:rsidR="00701552" w:rsidTr="00701552">
        <w:trPr>
          <w:trHeight w:val="300"/>
        </w:trPr>
        <w:tc>
          <w:tcPr>
            <w:tcW w:w="512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color w:val="000000"/>
                <w:sz w:val="22"/>
              </w:rPr>
            </w:pPr>
            <w:r>
              <w:rPr>
                <w:rFonts w:cs="Arial"/>
                <w:b/>
                <w:bCs/>
                <w:color w:val="000000"/>
                <w:sz w:val="22"/>
              </w:rPr>
              <w:t> </w:t>
            </w:r>
          </w:p>
        </w:tc>
        <w:tc>
          <w:tcPr>
            <w:tcW w:w="1380" w:type="dxa"/>
            <w:tcBorders>
              <w:top w:val="nil"/>
              <w:left w:val="nil"/>
              <w:bottom w:val="single" w:sz="4" w:space="0" w:color="auto"/>
              <w:right w:val="single" w:sz="4" w:space="0" w:color="auto"/>
            </w:tcBorders>
            <w:vAlign w:val="center"/>
            <w:hideMark/>
          </w:tcPr>
          <w:p w:rsidR="00701552" w:rsidRDefault="00701552">
            <w:pPr>
              <w:rPr>
                <w:rFonts w:cs="Arial"/>
                <w:b/>
                <w:bCs/>
                <w:color w:val="000000"/>
                <w:sz w:val="22"/>
              </w:rPr>
            </w:pP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rPr>
                <w:rFonts w:asciiTheme="minorHAnsi" w:hAnsiTheme="minorHAnsi"/>
                <w:sz w:val="20"/>
                <w:szCs w:val="20"/>
              </w:rPr>
            </w:pP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rPr>
                <w:rFonts w:asciiTheme="minorHAnsi" w:hAnsiTheme="minorHAnsi"/>
                <w:sz w:val="20"/>
                <w:szCs w:val="20"/>
              </w:rPr>
            </w:pPr>
          </w:p>
        </w:tc>
      </w:tr>
      <w:tr w:rsidR="00701552" w:rsidTr="00701552">
        <w:trPr>
          <w:trHeight w:val="300"/>
        </w:trPr>
        <w:tc>
          <w:tcPr>
            <w:tcW w:w="512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eastAsia="Times New Roman" w:cs="Arial"/>
                <w:b/>
                <w:bCs/>
                <w:color w:val="000000"/>
                <w:sz w:val="22"/>
              </w:rPr>
            </w:pPr>
            <w:r>
              <w:rPr>
                <w:rFonts w:cs="Arial"/>
                <w:b/>
                <w:bCs/>
                <w:color w:val="000000"/>
                <w:sz w:val="22"/>
              </w:rPr>
              <w:t>Total Expenditure (funding request)</w:t>
            </w:r>
          </w:p>
        </w:tc>
        <w:tc>
          <w:tcPr>
            <w:tcW w:w="138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TBC</w:t>
            </w:r>
          </w:p>
        </w:tc>
      </w:tr>
      <w:tr w:rsidR="00701552" w:rsidTr="00701552">
        <w:trPr>
          <w:trHeight w:val="300"/>
        </w:trPr>
        <w:tc>
          <w:tcPr>
            <w:tcW w:w="5120" w:type="dxa"/>
            <w:tcBorders>
              <w:top w:val="nil"/>
              <w:left w:val="single" w:sz="4" w:space="0" w:color="auto"/>
              <w:bottom w:val="single" w:sz="4" w:space="0" w:color="auto"/>
              <w:right w:val="single" w:sz="4" w:space="0" w:color="auto"/>
            </w:tcBorders>
            <w:vAlign w:val="center"/>
            <w:hideMark/>
          </w:tcPr>
          <w:p w:rsidR="00701552" w:rsidRDefault="00701552">
            <w:pPr>
              <w:spacing w:line="276" w:lineRule="auto"/>
              <w:jc w:val="both"/>
              <w:rPr>
                <w:rFonts w:cs="Arial"/>
                <w:b/>
                <w:bCs/>
                <w:color w:val="000000"/>
                <w:sz w:val="22"/>
              </w:rPr>
            </w:pPr>
            <w:r>
              <w:rPr>
                <w:rFonts w:cs="Arial"/>
                <w:b/>
                <w:bCs/>
                <w:color w:val="000000"/>
                <w:sz w:val="22"/>
              </w:rPr>
              <w:t xml:space="preserve">Net Margin </w:t>
            </w:r>
          </w:p>
        </w:tc>
        <w:tc>
          <w:tcPr>
            <w:tcW w:w="138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NA</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NA</w:t>
            </w:r>
          </w:p>
        </w:tc>
        <w:tc>
          <w:tcPr>
            <w:tcW w:w="1220" w:type="dxa"/>
            <w:tcBorders>
              <w:top w:val="nil"/>
              <w:left w:val="nil"/>
              <w:bottom w:val="single" w:sz="4" w:space="0" w:color="auto"/>
              <w:right w:val="single" w:sz="4" w:space="0" w:color="auto"/>
            </w:tcBorders>
            <w:vAlign w:val="center"/>
            <w:hideMark/>
          </w:tcPr>
          <w:p w:rsidR="00701552" w:rsidRDefault="00701552">
            <w:pPr>
              <w:spacing w:line="276" w:lineRule="auto"/>
              <w:jc w:val="center"/>
              <w:rPr>
                <w:rFonts w:cs="Arial"/>
                <w:color w:val="000000"/>
                <w:sz w:val="22"/>
              </w:rPr>
            </w:pPr>
            <w:r>
              <w:rPr>
                <w:rFonts w:cs="Arial"/>
                <w:color w:val="000000"/>
                <w:sz w:val="22"/>
              </w:rPr>
              <w:t>NA</w:t>
            </w:r>
          </w:p>
        </w:tc>
      </w:tr>
    </w:tbl>
    <w:p w:rsidR="00701552" w:rsidRDefault="00701552" w:rsidP="00701552">
      <w:pPr>
        <w:spacing w:before="120"/>
        <w:rPr>
          <w:rFonts w:eastAsia="Times New Roman" w:cs="Arial"/>
          <w:sz w:val="22"/>
          <w:szCs w:val="24"/>
          <w:lang w:eastAsia="en-GB"/>
        </w:rPr>
      </w:pPr>
    </w:p>
    <w:p w:rsidR="00701552" w:rsidRDefault="00701552" w:rsidP="00B8621B">
      <w:pPr>
        <w:pStyle w:val="ListParagraph"/>
        <w:numPr>
          <w:ilvl w:val="0"/>
          <w:numId w:val="50"/>
        </w:numPr>
        <w:spacing w:before="120"/>
        <w:rPr>
          <w:rFonts w:cs="Arial"/>
          <w:sz w:val="22"/>
        </w:rPr>
      </w:pPr>
      <w:r>
        <w:rPr>
          <w:rFonts w:cs="Arial"/>
          <w:sz w:val="22"/>
        </w:rPr>
        <w:t>Staff requirements, need to be adjusted around the predicted work flow from foot fall into the new development.  Numbers and working hours will need to be modelled on work volumes to provide maximum efficiency.</w:t>
      </w:r>
    </w:p>
    <w:p w:rsidR="00701552" w:rsidRDefault="00701552" w:rsidP="00701552">
      <w:pPr>
        <w:pStyle w:val="ListParagraph"/>
        <w:spacing w:before="120"/>
        <w:rPr>
          <w:rFonts w:cs="Arial"/>
          <w:sz w:val="22"/>
        </w:rPr>
      </w:pPr>
    </w:p>
    <w:p w:rsidR="00701552" w:rsidRDefault="00701552" w:rsidP="00701552">
      <w:pPr>
        <w:spacing w:before="120"/>
        <w:rPr>
          <w:rFonts w:cs="Arial"/>
          <w:sz w:val="22"/>
        </w:rPr>
      </w:pPr>
      <w:r>
        <w:rPr>
          <w:rFonts w:cs="Arial"/>
          <w:sz w:val="22"/>
        </w:rPr>
        <w:t>Non-pay costings will require predicted activity data for the POCT Solutions to compare the costs associated with the onsite laboratory against a POCT device.</w:t>
      </w:r>
    </w:p>
    <w:p w:rsidR="00701552" w:rsidRDefault="00701552" w:rsidP="00701552">
      <w:pPr>
        <w:spacing w:before="120"/>
        <w:rPr>
          <w:rFonts w:cs="Arial"/>
          <w:sz w:val="22"/>
        </w:rPr>
      </w:pPr>
      <w:r>
        <w:rPr>
          <w:rFonts w:cs="Arial"/>
          <w:sz w:val="22"/>
        </w:rPr>
        <w:t>All costings for Non-pay are 2019-</w:t>
      </w:r>
      <w:proofErr w:type="gramStart"/>
      <w:r>
        <w:rPr>
          <w:rFonts w:cs="Arial"/>
          <w:sz w:val="22"/>
        </w:rPr>
        <w:t>20 ,</w:t>
      </w:r>
      <w:proofErr w:type="gramEnd"/>
      <w:r>
        <w:rPr>
          <w:rFonts w:cs="Arial"/>
          <w:sz w:val="22"/>
        </w:rPr>
        <w:t xml:space="preserve"> </w:t>
      </w:r>
      <w:proofErr w:type="spellStart"/>
      <w:r>
        <w:rPr>
          <w:rFonts w:cs="Arial"/>
          <w:sz w:val="22"/>
        </w:rPr>
        <w:t>currrent</w:t>
      </w:r>
      <w:proofErr w:type="spellEnd"/>
      <w:r>
        <w:rPr>
          <w:rFonts w:cs="Arial"/>
          <w:sz w:val="22"/>
        </w:rPr>
        <w:t xml:space="preserve"> laboratory costing for ULHT</w:t>
      </w:r>
    </w:p>
    <w:p w:rsidR="00701552" w:rsidRDefault="00701552" w:rsidP="00701552">
      <w:pPr>
        <w:spacing w:before="120"/>
        <w:rPr>
          <w:rFonts w:cs="Arial"/>
          <w:b/>
          <w:sz w:val="22"/>
        </w:rPr>
      </w:pPr>
    </w:p>
    <w:tbl>
      <w:tblPr>
        <w:tblStyle w:val="TableGrid"/>
        <w:tblW w:w="0" w:type="auto"/>
        <w:tblInd w:w="0" w:type="dxa"/>
        <w:tblLook w:val="04A0" w:firstRow="1" w:lastRow="0" w:firstColumn="1" w:lastColumn="0" w:noHBand="0" w:noVBand="1"/>
      </w:tblPr>
      <w:tblGrid>
        <w:gridCol w:w="1384"/>
        <w:gridCol w:w="1276"/>
      </w:tblGrid>
      <w:tr w:rsidR="00701552" w:rsidTr="00701552">
        <w:tc>
          <w:tcPr>
            <w:tcW w:w="1384"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b/>
                <w:sz w:val="22"/>
              </w:rPr>
            </w:pPr>
            <w:r>
              <w:rPr>
                <w:rFonts w:cs="Arial"/>
                <w:b/>
                <w:sz w:val="22"/>
              </w:rPr>
              <w:t>Test</w:t>
            </w:r>
          </w:p>
        </w:tc>
        <w:tc>
          <w:tcPr>
            <w:tcW w:w="1276"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b/>
                <w:sz w:val="22"/>
              </w:rPr>
            </w:pPr>
            <w:r>
              <w:rPr>
                <w:rFonts w:cs="Arial"/>
                <w:b/>
                <w:sz w:val="22"/>
              </w:rPr>
              <w:t>Cost</w:t>
            </w:r>
          </w:p>
        </w:tc>
      </w:tr>
      <w:tr w:rsidR="00701552" w:rsidTr="00701552">
        <w:tc>
          <w:tcPr>
            <w:tcW w:w="1384"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BNP</w:t>
            </w:r>
          </w:p>
        </w:tc>
        <w:tc>
          <w:tcPr>
            <w:tcW w:w="1276"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£24.93</w:t>
            </w:r>
          </w:p>
        </w:tc>
      </w:tr>
      <w:tr w:rsidR="00701552" w:rsidTr="00701552">
        <w:tc>
          <w:tcPr>
            <w:tcW w:w="1384"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D-Dimer</w:t>
            </w:r>
          </w:p>
        </w:tc>
        <w:tc>
          <w:tcPr>
            <w:tcW w:w="1276"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£8.60</w:t>
            </w:r>
          </w:p>
        </w:tc>
      </w:tr>
      <w:tr w:rsidR="00701552" w:rsidTr="00701552">
        <w:tc>
          <w:tcPr>
            <w:tcW w:w="1384"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Glucose POCT</w:t>
            </w:r>
          </w:p>
        </w:tc>
        <w:tc>
          <w:tcPr>
            <w:tcW w:w="1276"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18.5p</w:t>
            </w:r>
          </w:p>
        </w:tc>
      </w:tr>
      <w:tr w:rsidR="00701552" w:rsidTr="00701552">
        <w:tc>
          <w:tcPr>
            <w:tcW w:w="1384"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Ketones POCT</w:t>
            </w:r>
          </w:p>
        </w:tc>
        <w:tc>
          <w:tcPr>
            <w:tcW w:w="1276"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£1.69</w:t>
            </w:r>
          </w:p>
        </w:tc>
      </w:tr>
    </w:tbl>
    <w:p w:rsidR="00701552" w:rsidRDefault="00701552" w:rsidP="00701552">
      <w:pPr>
        <w:spacing w:before="120"/>
        <w:rPr>
          <w:rFonts w:eastAsia="Times New Roman" w:cs="Arial"/>
          <w:sz w:val="22"/>
          <w:lang w:eastAsia="en-GB"/>
        </w:rPr>
      </w:pPr>
    </w:p>
    <w:p w:rsidR="00701552" w:rsidRDefault="00701552" w:rsidP="00701552">
      <w:pPr>
        <w:spacing w:before="120"/>
        <w:rPr>
          <w:rFonts w:cs="Arial"/>
          <w:sz w:val="22"/>
        </w:rPr>
      </w:pPr>
      <w:r>
        <w:rPr>
          <w:rFonts w:cs="Arial"/>
          <w:sz w:val="22"/>
        </w:rPr>
        <w:t>Glucose are charged to ULHT cost per strip based on 100 test strips costing £18.54 per pack, so 18.5p a test this includes the Connectivity/Training/Support/EQA costs.</w:t>
      </w:r>
    </w:p>
    <w:p w:rsidR="00701552" w:rsidRDefault="00701552" w:rsidP="00701552">
      <w:pPr>
        <w:spacing w:before="120"/>
        <w:rPr>
          <w:rFonts w:cs="Arial"/>
          <w:sz w:val="22"/>
        </w:rPr>
      </w:pPr>
      <w:r>
        <w:rPr>
          <w:rFonts w:cs="Arial"/>
          <w:sz w:val="22"/>
        </w:rPr>
        <w:t>Ketones are charged to ULHT cost per strip based on 50 test strips costing £84.66 per pack, so £1.69 a test this includes the Connectivity/Training/Support/EQA costs.</w:t>
      </w:r>
    </w:p>
    <w:p w:rsidR="00701552" w:rsidRDefault="00701552" w:rsidP="00701552">
      <w:pPr>
        <w:spacing w:before="120"/>
        <w:rPr>
          <w:rFonts w:cs="Arial"/>
          <w:sz w:val="22"/>
        </w:rPr>
      </w:pPr>
      <w:r>
        <w:rPr>
          <w:rFonts w:cs="Arial"/>
          <w:sz w:val="22"/>
        </w:rPr>
        <w:t xml:space="preserve">Blood Gases are charged to ULHT per test, but this is calculated on test performed against reagents used and covered in the Path Links Contract.  ULHT are billed for EQA separately. </w:t>
      </w:r>
    </w:p>
    <w:p w:rsidR="00701552" w:rsidRDefault="00701552" w:rsidP="00701552">
      <w:pPr>
        <w:spacing w:before="120"/>
        <w:rPr>
          <w:rFonts w:cs="Arial"/>
          <w:sz w:val="22"/>
        </w:rPr>
      </w:pPr>
      <w:r>
        <w:rPr>
          <w:rFonts w:cs="Arial"/>
          <w:sz w:val="22"/>
        </w:rPr>
        <w:t>RDT are ordered via RDC by the wards.</w:t>
      </w:r>
    </w:p>
    <w:p w:rsidR="00701552" w:rsidRDefault="00701552" w:rsidP="00701552">
      <w:pPr>
        <w:spacing w:before="120"/>
        <w:rPr>
          <w:rFonts w:cs="Arial"/>
          <w:sz w:val="22"/>
        </w:rPr>
      </w:pPr>
      <w:r>
        <w:rPr>
          <w:rFonts w:cs="Arial"/>
          <w:sz w:val="22"/>
        </w:rPr>
        <w:lastRenderedPageBreak/>
        <w:t xml:space="preserve">Using Roche as </w:t>
      </w:r>
      <w:proofErr w:type="spellStart"/>
      <w:proofErr w:type="gramStart"/>
      <w:r>
        <w:rPr>
          <w:rFonts w:cs="Arial"/>
          <w:sz w:val="22"/>
        </w:rPr>
        <w:t>a</w:t>
      </w:r>
      <w:proofErr w:type="spellEnd"/>
      <w:proofErr w:type="gramEnd"/>
      <w:r>
        <w:rPr>
          <w:rFonts w:cs="Arial"/>
          <w:sz w:val="22"/>
        </w:rPr>
        <w:t xml:space="preserve"> example supplier solution, as they are the currently Gas Analyser supplier for ULHT and have units in LCHS minor injuries units at Skegness and Louth. These are costing for purchasing test kits with no operating costs included.</w:t>
      </w:r>
    </w:p>
    <w:p w:rsidR="00701552" w:rsidRDefault="00701552" w:rsidP="00701552">
      <w:pPr>
        <w:spacing w:before="120"/>
        <w:rPr>
          <w:rFonts w:cs="Arial"/>
          <w:sz w:val="22"/>
        </w:rPr>
      </w:pPr>
      <w:r>
        <w:rPr>
          <w:rFonts w:cs="Arial"/>
          <w:sz w:val="22"/>
        </w:rPr>
        <w:tab/>
      </w:r>
    </w:p>
    <w:tbl>
      <w:tblPr>
        <w:tblStyle w:val="TableGrid"/>
        <w:tblW w:w="0" w:type="auto"/>
        <w:tblInd w:w="0" w:type="dxa"/>
        <w:tblLook w:val="04A0" w:firstRow="1" w:lastRow="0" w:firstColumn="1" w:lastColumn="0" w:noHBand="0" w:noVBand="1"/>
      </w:tblPr>
      <w:tblGrid>
        <w:gridCol w:w="3360"/>
        <w:gridCol w:w="1851"/>
        <w:gridCol w:w="2410"/>
      </w:tblGrid>
      <w:tr w:rsidR="00701552" w:rsidTr="00701552">
        <w:tc>
          <w:tcPr>
            <w:tcW w:w="3360"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b/>
                <w:sz w:val="22"/>
              </w:rPr>
            </w:pPr>
            <w:r>
              <w:rPr>
                <w:rFonts w:cs="Arial"/>
                <w:b/>
                <w:sz w:val="22"/>
              </w:rPr>
              <w:t>Product</w:t>
            </w:r>
          </w:p>
        </w:tc>
        <w:tc>
          <w:tcPr>
            <w:tcW w:w="1851"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b/>
                <w:sz w:val="22"/>
              </w:rPr>
            </w:pPr>
            <w:r>
              <w:rPr>
                <w:rFonts w:cs="Arial"/>
                <w:b/>
                <w:sz w:val="22"/>
              </w:rPr>
              <w:t>Product Code</w:t>
            </w:r>
          </w:p>
        </w:tc>
        <w:tc>
          <w:tcPr>
            <w:tcW w:w="2410"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b/>
                <w:sz w:val="22"/>
              </w:rPr>
            </w:pPr>
            <w:r>
              <w:rPr>
                <w:rFonts w:cs="Arial"/>
                <w:b/>
                <w:sz w:val="22"/>
              </w:rPr>
              <w:t>Unit Price 2019-2020</w:t>
            </w:r>
          </w:p>
        </w:tc>
      </w:tr>
      <w:tr w:rsidR="00701552" w:rsidTr="00701552">
        <w:tc>
          <w:tcPr>
            <w:tcW w:w="3360" w:type="dxa"/>
            <w:tcBorders>
              <w:top w:val="single" w:sz="4" w:space="0" w:color="auto"/>
              <w:left w:val="single" w:sz="4" w:space="0" w:color="auto"/>
              <w:bottom w:val="single" w:sz="4" w:space="0" w:color="auto"/>
              <w:right w:val="single" w:sz="4" w:space="0" w:color="auto"/>
            </w:tcBorders>
            <w:vAlign w:val="center"/>
            <w:hideMark/>
          </w:tcPr>
          <w:p w:rsidR="00701552" w:rsidRDefault="00701552">
            <w:pPr>
              <w:spacing w:before="120"/>
              <w:rPr>
                <w:rFonts w:cs="Arial"/>
                <w:sz w:val="22"/>
              </w:rPr>
            </w:pPr>
            <w:r>
              <w:rPr>
                <w:rFonts w:cs="Arial"/>
                <w:sz w:val="22"/>
              </w:rPr>
              <w:t>Roche H232 Unit with Scanner with battery and base unit</w:t>
            </w:r>
          </w:p>
        </w:tc>
        <w:tc>
          <w:tcPr>
            <w:tcW w:w="1851"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06740758001</w:t>
            </w:r>
          </w:p>
        </w:tc>
        <w:tc>
          <w:tcPr>
            <w:tcW w:w="2410"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£1,583.56</w:t>
            </w:r>
          </w:p>
        </w:tc>
      </w:tr>
      <w:tr w:rsidR="00701552" w:rsidTr="00701552">
        <w:tc>
          <w:tcPr>
            <w:tcW w:w="3360"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Roche CARDIAC D-Dimer (10 tests)</w:t>
            </w:r>
          </w:p>
        </w:tc>
        <w:tc>
          <w:tcPr>
            <w:tcW w:w="1851"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04877802190</w:t>
            </w:r>
          </w:p>
        </w:tc>
        <w:tc>
          <w:tcPr>
            <w:tcW w:w="2410"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£80.40</w:t>
            </w:r>
          </w:p>
        </w:tc>
      </w:tr>
      <w:tr w:rsidR="00701552" w:rsidTr="00701552">
        <w:tc>
          <w:tcPr>
            <w:tcW w:w="3360"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Roche CARDIAC Control D-Dimer</w:t>
            </w:r>
          </w:p>
        </w:tc>
        <w:tc>
          <w:tcPr>
            <w:tcW w:w="1851"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04890523190</w:t>
            </w:r>
          </w:p>
        </w:tc>
        <w:tc>
          <w:tcPr>
            <w:tcW w:w="2410"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£46.64</w:t>
            </w:r>
          </w:p>
        </w:tc>
      </w:tr>
      <w:tr w:rsidR="00701552" w:rsidTr="00701552">
        <w:tc>
          <w:tcPr>
            <w:tcW w:w="3360"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 xml:space="preserve">Roche CARDIAC </w:t>
            </w:r>
            <w:proofErr w:type="spellStart"/>
            <w:r>
              <w:rPr>
                <w:rFonts w:cs="Arial"/>
                <w:sz w:val="22"/>
              </w:rPr>
              <w:t>proBNP</w:t>
            </w:r>
            <w:proofErr w:type="spellEnd"/>
            <w:r>
              <w:rPr>
                <w:rFonts w:cs="Arial"/>
                <w:sz w:val="22"/>
              </w:rPr>
              <w:t>+(10 tests)</w:t>
            </w:r>
          </w:p>
        </w:tc>
        <w:tc>
          <w:tcPr>
            <w:tcW w:w="1851"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05533643190</w:t>
            </w:r>
          </w:p>
        </w:tc>
        <w:tc>
          <w:tcPr>
            <w:tcW w:w="2410"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£339.49</w:t>
            </w:r>
          </w:p>
        </w:tc>
      </w:tr>
      <w:tr w:rsidR="00701552" w:rsidTr="00701552">
        <w:tc>
          <w:tcPr>
            <w:tcW w:w="3360"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 xml:space="preserve">Roche CARDIAC Control </w:t>
            </w:r>
            <w:proofErr w:type="spellStart"/>
            <w:r>
              <w:rPr>
                <w:rFonts w:cs="Arial"/>
                <w:sz w:val="22"/>
              </w:rPr>
              <w:t>proBNP</w:t>
            </w:r>
            <w:proofErr w:type="spellEnd"/>
          </w:p>
        </w:tc>
        <w:tc>
          <w:tcPr>
            <w:tcW w:w="1851"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04890493190</w:t>
            </w:r>
          </w:p>
        </w:tc>
        <w:tc>
          <w:tcPr>
            <w:tcW w:w="2410" w:type="dxa"/>
            <w:tcBorders>
              <w:top w:val="single" w:sz="4" w:space="0" w:color="auto"/>
              <w:left w:val="single" w:sz="4" w:space="0" w:color="auto"/>
              <w:bottom w:val="single" w:sz="4" w:space="0" w:color="auto"/>
              <w:right w:val="single" w:sz="4" w:space="0" w:color="auto"/>
            </w:tcBorders>
            <w:hideMark/>
          </w:tcPr>
          <w:p w:rsidR="00701552" w:rsidRDefault="00701552">
            <w:pPr>
              <w:spacing w:before="120"/>
              <w:rPr>
                <w:rFonts w:cs="Arial"/>
                <w:sz w:val="22"/>
              </w:rPr>
            </w:pPr>
            <w:r>
              <w:rPr>
                <w:rFonts w:cs="Arial"/>
                <w:sz w:val="22"/>
              </w:rPr>
              <w:t>£84.87</w:t>
            </w:r>
          </w:p>
        </w:tc>
      </w:tr>
    </w:tbl>
    <w:p w:rsidR="00701552" w:rsidRDefault="00701552" w:rsidP="00701552">
      <w:pPr>
        <w:spacing w:before="120"/>
        <w:rPr>
          <w:rFonts w:eastAsia="Times New Roman" w:cs="Arial"/>
          <w:sz w:val="22"/>
          <w:lang w:eastAsia="en-GB"/>
        </w:rPr>
      </w:pPr>
    </w:p>
    <w:p w:rsidR="00701552" w:rsidRDefault="00701552" w:rsidP="00701552">
      <w:pPr>
        <w:spacing w:before="120"/>
        <w:rPr>
          <w:rFonts w:cs="Arial"/>
          <w:sz w:val="22"/>
        </w:rPr>
      </w:pPr>
      <w:r>
        <w:rPr>
          <w:rFonts w:cs="Arial"/>
          <w:sz w:val="22"/>
        </w:rPr>
        <w:t>Number of Requests from ED at Pilgrim over the last 12 months 2018-2019.</w:t>
      </w:r>
    </w:p>
    <w:p w:rsidR="00701552" w:rsidRDefault="00701552" w:rsidP="00701552">
      <w:pPr>
        <w:spacing w:before="120"/>
        <w:rPr>
          <w:rFonts w:cs="Arial"/>
          <w:sz w:val="22"/>
        </w:rPr>
      </w:pPr>
      <w:r>
        <w:rPr>
          <w:rFonts w:cs="Arial"/>
          <w:sz w:val="22"/>
        </w:rPr>
        <w:t>BNP – ED at Pilgrim requested 329 primary orders not including add-ons.</w:t>
      </w:r>
    </w:p>
    <w:p w:rsidR="00701552" w:rsidRDefault="00701552" w:rsidP="00701552">
      <w:pPr>
        <w:spacing w:before="120"/>
        <w:rPr>
          <w:rFonts w:cs="Arial"/>
          <w:sz w:val="22"/>
        </w:rPr>
      </w:pPr>
    </w:p>
    <w:p w:rsidR="00701552" w:rsidRDefault="00701552" w:rsidP="00701552">
      <w:pPr>
        <w:spacing w:before="120"/>
        <w:rPr>
          <w:rFonts w:cs="Arial"/>
          <w:sz w:val="22"/>
        </w:rPr>
      </w:pPr>
      <w:r>
        <w:rPr>
          <w:rFonts w:cs="Arial"/>
          <w:sz w:val="22"/>
        </w:rPr>
        <w:t>D-Dimer – ED at Pilgrim requested 3584</w:t>
      </w:r>
    </w:p>
    <w:p w:rsidR="003E1E32" w:rsidRDefault="003E1E32" w:rsidP="00701552">
      <w:pPr>
        <w:spacing w:before="120"/>
        <w:rPr>
          <w:rFonts w:cs="Arial"/>
          <w:sz w:val="22"/>
        </w:rPr>
      </w:pPr>
    </w:p>
    <w:p w:rsidR="00701552" w:rsidRDefault="00701552" w:rsidP="00701552">
      <w:pPr>
        <w:autoSpaceDE w:val="0"/>
        <w:autoSpaceDN w:val="0"/>
        <w:adjustRightInd w:val="0"/>
        <w:rPr>
          <w:rFonts w:cs="Arial"/>
          <w:color w:val="000000"/>
          <w:sz w:val="22"/>
        </w:rPr>
      </w:pPr>
    </w:p>
    <w:p w:rsidR="00701552" w:rsidRDefault="00701552" w:rsidP="00B8621B">
      <w:pPr>
        <w:pStyle w:val="ListParagraph"/>
        <w:numPr>
          <w:ilvl w:val="0"/>
          <w:numId w:val="51"/>
        </w:numPr>
        <w:spacing w:after="200" w:line="276" w:lineRule="auto"/>
        <w:outlineLvl w:val="0"/>
        <w:rPr>
          <w:rFonts w:cs="Arial"/>
          <w:b/>
          <w:color w:val="005EB8"/>
          <w:sz w:val="32"/>
          <w:szCs w:val="24"/>
        </w:rPr>
      </w:pPr>
      <w:bookmarkStart w:id="200" w:name="_Toc494718789"/>
      <w:bookmarkStart w:id="201" w:name="_Toc98324695"/>
      <w:bookmarkStart w:id="202" w:name="_Toc99880960"/>
      <w:bookmarkStart w:id="203" w:name="_Toc100070291"/>
      <w:bookmarkStart w:id="204" w:name="_Toc100307217"/>
      <w:bookmarkStart w:id="205" w:name="_Toc100307365"/>
      <w:bookmarkStart w:id="206" w:name="_Toc100318571"/>
      <w:bookmarkStart w:id="207" w:name="_Toc100320579"/>
      <w:bookmarkStart w:id="208" w:name="_Toc100341061"/>
      <w:bookmarkStart w:id="209" w:name="_Toc100569477"/>
      <w:bookmarkStart w:id="210" w:name="_Toc105493516"/>
      <w:bookmarkStart w:id="211" w:name="_Toc105665241"/>
      <w:r>
        <w:rPr>
          <w:rFonts w:cs="Arial"/>
          <w:b/>
          <w:color w:val="005EB8"/>
          <w:sz w:val="32"/>
        </w:rPr>
        <w:t>Summary and Recommendation</w:t>
      </w:r>
      <w:bookmarkEnd w:id="200"/>
      <w:bookmarkEnd w:id="201"/>
      <w:bookmarkEnd w:id="202"/>
      <w:bookmarkEnd w:id="203"/>
      <w:bookmarkEnd w:id="204"/>
      <w:bookmarkEnd w:id="205"/>
      <w:bookmarkEnd w:id="206"/>
      <w:bookmarkEnd w:id="207"/>
      <w:bookmarkEnd w:id="208"/>
      <w:bookmarkEnd w:id="209"/>
      <w:bookmarkEnd w:id="210"/>
      <w:bookmarkEnd w:id="211"/>
    </w:p>
    <w:p w:rsidR="00701552" w:rsidRDefault="00701552" w:rsidP="00701552">
      <w:pPr>
        <w:autoSpaceDE w:val="0"/>
        <w:autoSpaceDN w:val="0"/>
        <w:adjustRightInd w:val="0"/>
        <w:jc w:val="both"/>
        <w:rPr>
          <w:rFonts w:cs="Arial"/>
          <w:color w:val="000000"/>
          <w:sz w:val="22"/>
        </w:rPr>
      </w:pPr>
      <w:r>
        <w:rPr>
          <w:rFonts w:cs="Arial"/>
          <w:color w:val="000000"/>
          <w:sz w:val="22"/>
        </w:rPr>
        <w:t xml:space="preserve">The preferred Pathology solution for the proposed Pilgrim Hospital Urgent Care Project would be option 2: a Diagnostic POCT facility staffed by Path Links laboratory staff within the new development or 3: using the current UKAS </w:t>
      </w:r>
      <w:r w:rsidR="003E1E32">
        <w:rPr>
          <w:rFonts w:cs="Arial"/>
          <w:color w:val="000000"/>
          <w:sz w:val="22"/>
        </w:rPr>
        <w:t>accredited</w:t>
      </w:r>
      <w:r>
        <w:rPr>
          <w:rFonts w:cs="Arial"/>
          <w:color w:val="000000"/>
          <w:sz w:val="22"/>
        </w:rPr>
        <w:t xml:space="preserve"> onsite Blood Sciences laboratory.</w:t>
      </w:r>
    </w:p>
    <w:p w:rsidR="00701552" w:rsidRDefault="00701552" w:rsidP="00701552">
      <w:pPr>
        <w:autoSpaceDE w:val="0"/>
        <w:autoSpaceDN w:val="0"/>
        <w:adjustRightInd w:val="0"/>
        <w:jc w:val="both"/>
        <w:rPr>
          <w:rFonts w:cs="Arial"/>
          <w:color w:val="000000"/>
          <w:sz w:val="22"/>
        </w:rPr>
      </w:pPr>
    </w:p>
    <w:p w:rsidR="00701552" w:rsidRDefault="00701552" w:rsidP="00701552">
      <w:pPr>
        <w:autoSpaceDE w:val="0"/>
        <w:autoSpaceDN w:val="0"/>
        <w:adjustRightInd w:val="0"/>
        <w:jc w:val="both"/>
        <w:rPr>
          <w:rFonts w:cs="Arial"/>
          <w:color w:val="000000"/>
          <w:sz w:val="22"/>
        </w:rPr>
      </w:pPr>
      <w:r>
        <w:rPr>
          <w:rFonts w:cs="Arial"/>
          <w:color w:val="000000"/>
          <w:sz w:val="22"/>
        </w:rPr>
        <w:t xml:space="preserve">Cost is a key factor as POCT is not a cheap solution, savings associated are calculated by reduced admissions and shorter stays due to patient being put on pathways quicker.  To provide costs for the POCT solution it requires predicted activity for these pathways within the new development.  </w:t>
      </w:r>
    </w:p>
    <w:p w:rsidR="00701552" w:rsidRDefault="00701552" w:rsidP="00701552">
      <w:pPr>
        <w:autoSpaceDE w:val="0"/>
        <w:autoSpaceDN w:val="0"/>
        <w:adjustRightInd w:val="0"/>
        <w:jc w:val="both"/>
        <w:rPr>
          <w:rFonts w:cs="Arial"/>
          <w:color w:val="000000"/>
          <w:sz w:val="22"/>
        </w:rPr>
      </w:pPr>
    </w:p>
    <w:p w:rsidR="00701552" w:rsidRDefault="00701552" w:rsidP="00701552">
      <w:pPr>
        <w:autoSpaceDE w:val="0"/>
        <w:autoSpaceDN w:val="0"/>
        <w:adjustRightInd w:val="0"/>
        <w:jc w:val="both"/>
        <w:rPr>
          <w:rFonts w:cs="Arial"/>
          <w:color w:val="000000"/>
          <w:sz w:val="22"/>
        </w:rPr>
      </w:pPr>
      <w:r>
        <w:rPr>
          <w:rFonts w:cs="Arial"/>
          <w:color w:val="000000"/>
          <w:sz w:val="22"/>
        </w:rPr>
        <w:t>Pathways play a key part in the use of POCT solutions, patients who fit that pathway need to be identified by the clinical teams and once POCT results are available they require action to affect the pathway in  a positive way e.g. admit or discharge the patient which in turn leads to short hospital stays and a positive patient experience.</w:t>
      </w:r>
    </w:p>
    <w:p w:rsidR="00701552" w:rsidRDefault="00701552" w:rsidP="00701552">
      <w:pPr>
        <w:autoSpaceDE w:val="0"/>
        <w:autoSpaceDN w:val="0"/>
        <w:adjustRightInd w:val="0"/>
        <w:jc w:val="both"/>
        <w:rPr>
          <w:rFonts w:cs="Arial"/>
          <w:color w:val="000000"/>
          <w:sz w:val="22"/>
        </w:rPr>
      </w:pPr>
    </w:p>
    <w:p w:rsidR="00701552" w:rsidRDefault="00701552" w:rsidP="00701552">
      <w:pPr>
        <w:autoSpaceDE w:val="0"/>
        <w:autoSpaceDN w:val="0"/>
        <w:adjustRightInd w:val="0"/>
        <w:jc w:val="both"/>
        <w:rPr>
          <w:rFonts w:cs="Arial"/>
          <w:color w:val="000000"/>
          <w:sz w:val="22"/>
        </w:rPr>
      </w:pPr>
      <w:r>
        <w:rPr>
          <w:rFonts w:cs="Arial"/>
          <w:color w:val="000000"/>
          <w:sz w:val="22"/>
        </w:rPr>
        <w:t xml:space="preserve">Specifically D-Dimer with the volumes of requests ED are currently making, a POCT solution would need introducing with strict guidance based around the pathway to prevent it being abused and over used at </w:t>
      </w:r>
      <w:proofErr w:type="spellStart"/>
      <w:r>
        <w:rPr>
          <w:rFonts w:cs="Arial"/>
          <w:color w:val="000000"/>
          <w:sz w:val="22"/>
        </w:rPr>
        <w:t>asignificant</w:t>
      </w:r>
      <w:proofErr w:type="spellEnd"/>
      <w:r>
        <w:rPr>
          <w:rFonts w:cs="Arial"/>
          <w:color w:val="000000"/>
          <w:sz w:val="22"/>
        </w:rPr>
        <w:t xml:space="preserve"> cost to trust.</w:t>
      </w:r>
    </w:p>
    <w:p w:rsidR="00701552" w:rsidRDefault="00701552" w:rsidP="00701552">
      <w:pPr>
        <w:autoSpaceDE w:val="0"/>
        <w:autoSpaceDN w:val="0"/>
        <w:adjustRightInd w:val="0"/>
        <w:jc w:val="both"/>
        <w:rPr>
          <w:rFonts w:cs="Arial"/>
          <w:color w:val="000000"/>
          <w:sz w:val="22"/>
        </w:rPr>
      </w:pPr>
    </w:p>
    <w:p w:rsidR="00701552" w:rsidRDefault="00701552" w:rsidP="00701552">
      <w:pPr>
        <w:spacing w:before="120"/>
        <w:jc w:val="both"/>
        <w:rPr>
          <w:rFonts w:cs="Arial"/>
          <w:sz w:val="22"/>
        </w:rPr>
      </w:pPr>
      <w:r>
        <w:rPr>
          <w:rFonts w:cs="Arial"/>
          <w:color w:val="000000"/>
          <w:sz w:val="22"/>
        </w:rPr>
        <w:t>All solutions include a phlebotomy provision to support the clinical teams and help improve the sample quality.  Better management of pre-analytics (sample quality), a</w:t>
      </w:r>
      <w:r>
        <w:rPr>
          <w:rFonts w:cs="Arial"/>
          <w:sz w:val="22"/>
        </w:rPr>
        <w:t>ddressing the current rejection rates and improve real-time patient diagnostic demand leading to timely clinical decisions and patient discharge.</w:t>
      </w:r>
    </w:p>
    <w:p w:rsidR="00701552" w:rsidRDefault="00701552" w:rsidP="00701552">
      <w:pPr>
        <w:autoSpaceDE w:val="0"/>
        <w:autoSpaceDN w:val="0"/>
        <w:adjustRightInd w:val="0"/>
        <w:jc w:val="both"/>
        <w:rPr>
          <w:rFonts w:cs="Arial"/>
          <w:color w:val="000000"/>
          <w:sz w:val="22"/>
        </w:rPr>
      </w:pPr>
    </w:p>
    <w:p w:rsidR="00701552" w:rsidRDefault="00701552" w:rsidP="00701552">
      <w:pPr>
        <w:autoSpaceDE w:val="0"/>
        <w:autoSpaceDN w:val="0"/>
        <w:adjustRightInd w:val="0"/>
        <w:jc w:val="both"/>
        <w:rPr>
          <w:rFonts w:cs="Arial"/>
          <w:color w:val="000000"/>
          <w:sz w:val="22"/>
        </w:rPr>
      </w:pPr>
      <w:r>
        <w:rPr>
          <w:rFonts w:cs="Arial"/>
          <w:color w:val="000000"/>
          <w:sz w:val="22"/>
        </w:rPr>
        <w:t xml:space="preserve">Porter cover and Air tube stations within both areas is key to support the 15 minute ‘vein to lab’, to facilitate the 60 minute KPI for ED. </w:t>
      </w:r>
    </w:p>
    <w:p w:rsidR="00701552" w:rsidRDefault="00701552" w:rsidP="00701552">
      <w:pPr>
        <w:autoSpaceDE w:val="0"/>
        <w:autoSpaceDN w:val="0"/>
        <w:adjustRightInd w:val="0"/>
        <w:jc w:val="both"/>
        <w:rPr>
          <w:rFonts w:cs="Arial"/>
          <w:color w:val="000000"/>
          <w:sz w:val="22"/>
        </w:rPr>
      </w:pPr>
    </w:p>
    <w:p w:rsidR="00701552" w:rsidRDefault="00701552" w:rsidP="00701552">
      <w:pPr>
        <w:autoSpaceDE w:val="0"/>
        <w:autoSpaceDN w:val="0"/>
        <w:adjustRightInd w:val="0"/>
        <w:jc w:val="both"/>
        <w:rPr>
          <w:rFonts w:cs="Arial"/>
          <w:color w:val="000000"/>
          <w:sz w:val="22"/>
        </w:rPr>
      </w:pPr>
      <w:r>
        <w:rPr>
          <w:rFonts w:cs="Arial"/>
          <w:color w:val="000000"/>
          <w:sz w:val="22"/>
        </w:rPr>
        <w:t xml:space="preserve">Path Links staff working within the facility would lead to improvements in governance, results would be booked into the local LIMS and </w:t>
      </w:r>
      <w:proofErr w:type="gramStart"/>
      <w:r>
        <w:rPr>
          <w:rFonts w:cs="Arial"/>
          <w:color w:val="000000"/>
          <w:sz w:val="22"/>
        </w:rPr>
        <w:t>results  would</w:t>
      </w:r>
      <w:proofErr w:type="gramEnd"/>
      <w:r>
        <w:rPr>
          <w:rFonts w:cs="Arial"/>
          <w:color w:val="000000"/>
          <w:sz w:val="22"/>
        </w:rPr>
        <w:t xml:space="preserve"> be </w:t>
      </w:r>
      <w:proofErr w:type="spellStart"/>
      <w:r>
        <w:rPr>
          <w:rFonts w:cs="Arial"/>
          <w:color w:val="000000"/>
          <w:sz w:val="22"/>
        </w:rPr>
        <w:t>accessable</w:t>
      </w:r>
      <w:proofErr w:type="spellEnd"/>
      <w:r>
        <w:rPr>
          <w:rFonts w:cs="Arial"/>
          <w:color w:val="000000"/>
          <w:sz w:val="22"/>
        </w:rPr>
        <w:t xml:space="preserve"> electronically via the </w:t>
      </w:r>
      <w:proofErr w:type="spellStart"/>
      <w:r>
        <w:rPr>
          <w:rFonts w:cs="Arial"/>
          <w:color w:val="000000"/>
          <w:sz w:val="22"/>
        </w:rPr>
        <w:t>WebV</w:t>
      </w:r>
      <w:proofErr w:type="spellEnd"/>
      <w:r>
        <w:rPr>
          <w:rFonts w:cs="Arial"/>
          <w:color w:val="000000"/>
          <w:sz w:val="22"/>
        </w:rPr>
        <w:t xml:space="preserve"> system, available to clinical teams throughout the Ed/UTC and hospital.</w:t>
      </w:r>
    </w:p>
    <w:p w:rsidR="00701552" w:rsidRDefault="00701552" w:rsidP="00701552">
      <w:pPr>
        <w:autoSpaceDE w:val="0"/>
        <w:autoSpaceDN w:val="0"/>
        <w:adjustRightInd w:val="0"/>
        <w:jc w:val="both"/>
        <w:rPr>
          <w:rFonts w:cs="Arial"/>
          <w:color w:val="000000"/>
          <w:sz w:val="22"/>
        </w:rPr>
      </w:pPr>
    </w:p>
    <w:p w:rsidR="00701552" w:rsidRDefault="00701552" w:rsidP="00701552">
      <w:pPr>
        <w:autoSpaceDE w:val="0"/>
        <w:autoSpaceDN w:val="0"/>
        <w:adjustRightInd w:val="0"/>
        <w:jc w:val="both"/>
        <w:rPr>
          <w:rFonts w:cs="Arial"/>
          <w:color w:val="000000"/>
          <w:sz w:val="22"/>
        </w:rPr>
      </w:pPr>
      <w:r>
        <w:rPr>
          <w:rFonts w:cs="Arial"/>
          <w:color w:val="000000"/>
          <w:sz w:val="22"/>
        </w:rPr>
        <w:t>Free clinical staff to focus on patient care and treatment, positive effect on staff and patients, improving patient flow at the front door of Pilgrim ED/UTC.</w:t>
      </w:r>
    </w:p>
    <w:p w:rsidR="00701552" w:rsidRDefault="00701552" w:rsidP="00701552">
      <w:pPr>
        <w:autoSpaceDE w:val="0"/>
        <w:autoSpaceDN w:val="0"/>
        <w:adjustRightInd w:val="0"/>
        <w:jc w:val="both"/>
        <w:rPr>
          <w:rFonts w:cs="Arial"/>
          <w:color w:val="000000"/>
          <w:sz w:val="22"/>
        </w:rPr>
      </w:pPr>
    </w:p>
    <w:p w:rsidR="003E1E32" w:rsidRDefault="003E1E32">
      <w:pPr>
        <w:spacing w:after="200" w:line="276" w:lineRule="auto"/>
        <w:rPr>
          <w:rFonts w:cs="Arial"/>
          <w:b/>
          <w:color w:val="005EB8"/>
          <w:sz w:val="32"/>
          <w:szCs w:val="32"/>
        </w:rPr>
      </w:pPr>
      <w:r>
        <w:rPr>
          <w:rFonts w:cs="Arial"/>
          <w:b/>
          <w:color w:val="005EB8"/>
          <w:sz w:val="32"/>
          <w:szCs w:val="32"/>
        </w:rPr>
        <w:br w:type="page"/>
      </w:r>
    </w:p>
    <w:p w:rsidR="00701552" w:rsidRDefault="003E1E32" w:rsidP="003E1E32">
      <w:pPr>
        <w:pStyle w:val="Heading1"/>
      </w:pPr>
      <w:bookmarkStart w:id="212" w:name="_Toc105665242"/>
      <w:r>
        <w:lastRenderedPageBreak/>
        <w:t>Appendix M:  Medicine Division Staffing Plan</w:t>
      </w:r>
      <w:bookmarkEnd w:id="212"/>
    </w:p>
    <w:p w:rsidR="00701552" w:rsidRDefault="00701552" w:rsidP="00701552">
      <w:pPr>
        <w:autoSpaceDE w:val="0"/>
        <w:autoSpaceDN w:val="0"/>
        <w:adjustRightInd w:val="0"/>
        <w:outlineLvl w:val="1"/>
        <w:rPr>
          <w:rFonts w:cs="Arial"/>
          <w:sz w:val="32"/>
          <w:szCs w:val="32"/>
        </w:rPr>
      </w:pPr>
    </w:p>
    <w:p w:rsidR="003E1E32" w:rsidRPr="003E1E32" w:rsidRDefault="003E1E32" w:rsidP="003E1E32">
      <w:pPr>
        <w:spacing w:after="160" w:line="256" w:lineRule="auto"/>
        <w:ind w:left="709"/>
        <w:rPr>
          <w:rFonts w:eastAsia="Calibri" w:cs="Arial"/>
        </w:rPr>
      </w:pPr>
    </w:p>
    <w:p w:rsidR="003E1E32" w:rsidRPr="003E1E32" w:rsidRDefault="003E1E32" w:rsidP="003E1E32">
      <w:pPr>
        <w:spacing w:after="160" w:line="256" w:lineRule="auto"/>
        <w:rPr>
          <w:rFonts w:ascii="Calibri" w:eastAsia="Calibri" w:hAnsi="Calibri" w:cs="Times New Roman"/>
          <w:sz w:val="22"/>
        </w:rPr>
      </w:pPr>
      <w:bookmarkStart w:id="213" w:name="_Toc96712650"/>
      <w:r w:rsidRPr="003E1E32">
        <w:rPr>
          <w:rFonts w:ascii="Calibri" w:eastAsia="Calibri" w:hAnsi="Calibri" w:cs="Times New Roman"/>
          <w:sz w:val="22"/>
        </w:rPr>
        <w:t>Introduction</w:t>
      </w:r>
      <w:bookmarkEnd w:id="213"/>
      <w:r w:rsidRPr="003E1E32">
        <w:rPr>
          <w:rFonts w:ascii="Calibri" w:eastAsia="Calibri" w:hAnsi="Calibri" w:cs="Times New Roman"/>
          <w:sz w:val="22"/>
        </w:rPr>
        <w:t xml:space="preserve">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On 5</w:t>
      </w:r>
      <w:r w:rsidRPr="003E1E32">
        <w:rPr>
          <w:rFonts w:ascii="Calibri" w:eastAsia="Calibri" w:hAnsi="Calibri" w:cs="Times New Roman"/>
          <w:sz w:val="22"/>
          <w:vertAlign w:val="superscript"/>
        </w:rPr>
        <w:t>th</w:t>
      </w:r>
      <w:r w:rsidRPr="003E1E32">
        <w:rPr>
          <w:rFonts w:ascii="Calibri" w:eastAsia="Calibri" w:hAnsi="Calibri" w:cs="Times New Roman"/>
          <w:sz w:val="22"/>
        </w:rPr>
        <w:t xml:space="preserve"> August 2019, Prime Minister Boris Johnson visited The Pilgrim Hospital site to announce funding for 20 organisations to receive a share of 850M to improve services.  This included the allocation of £21.3M to Pilgrim Hospital.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This plan sets out the vision for workforce development, triangulating demand and capacity and workforce needs to ensure that the new build will not only be fit for the future from an estates perspective, but that the workforce needs have been fully considered.  Our patients remain at the heart of everything we do, and this plan has a clear focus on fostering a culture of inclusion and belonging, as well as action to grow our workforce, train our people, and work together differently to deliver excellent patient care.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The plan focusses on three key areas:</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Growing a multidisciplinary workforce, including creating a resilient senior decision-maker layer of Emergency Medicine staff</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Reducing attrition in the ED</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Improving retention of staff working in ED</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It covers all clinical staff working in EDs who interact with patients including doctors, advanced care practitioners, nursing staff and physician associates as well as other </w:t>
      </w:r>
      <w:proofErr w:type="spellStart"/>
      <w:r w:rsidRPr="003E1E32">
        <w:rPr>
          <w:rFonts w:ascii="Calibri" w:eastAsia="Calibri" w:hAnsi="Calibri" w:cs="Times New Roman"/>
          <w:sz w:val="22"/>
        </w:rPr>
        <w:t>multi disciplinary</w:t>
      </w:r>
      <w:proofErr w:type="spellEnd"/>
      <w:r w:rsidRPr="003E1E32">
        <w:rPr>
          <w:rFonts w:ascii="Calibri" w:eastAsia="Calibri" w:hAnsi="Calibri" w:cs="Times New Roman"/>
          <w:sz w:val="22"/>
        </w:rPr>
        <w:t xml:space="preserve"> clinical staff.  </w:t>
      </w:r>
    </w:p>
    <w:p w:rsidR="003E1E32" w:rsidRPr="003E1E32" w:rsidRDefault="003E1E32" w:rsidP="003E1E32">
      <w:pPr>
        <w:spacing w:after="160" w:line="256" w:lineRule="auto"/>
        <w:rPr>
          <w:rFonts w:ascii="Calibri" w:eastAsia="Calibri" w:hAnsi="Calibri" w:cs="Times New Roman"/>
          <w:sz w:val="22"/>
        </w:rPr>
      </w:pPr>
      <w:bookmarkStart w:id="214" w:name="_Toc96712651"/>
      <w:r w:rsidRPr="003E1E32">
        <w:rPr>
          <w:rFonts w:ascii="Calibri" w:eastAsia="Calibri" w:hAnsi="Calibri" w:cs="Times New Roman"/>
          <w:sz w:val="22"/>
        </w:rPr>
        <w:t>The workforce challenge in Emergency Medicine</w:t>
      </w:r>
      <w:bookmarkEnd w:id="214"/>
      <w:r w:rsidRPr="003E1E32">
        <w:rPr>
          <w:rFonts w:ascii="Calibri" w:eastAsia="Calibri" w:hAnsi="Calibri" w:cs="Times New Roman"/>
          <w:sz w:val="22"/>
        </w:rPr>
        <w:t xml:space="preserve">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Staff working in Emergency Departments aim to deliver high quality patient care for all patients whether they present with minor or critical life-changing conditions.  Over the past few years, the numbers of staff working in our EDs have increased in both the medical and nursing workforce, however as have attendances, admissions and the overall complexity of the needs of patients.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Whilst Pilgrim ED has historically struggled to recruit substantive staff; both medical and nursing; significant investment combined with targeted recruitment programmes have allowed the department to recruit, retain and develop a substantive workforce.</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This work is underpinned by a commitment from the Organisation to ensure that our workforce is fit for purpose.  Annual establishment reviews for the nursing team are undertaken, led by the Director of Nursing; based on real time demand and capacity work with recommendations fed directly into Trust Board.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United Lincolnshire Hospitals NHS Trust has recently commissioned a full Medical Workforce Management Project to ensure our medical workforce is able to deliver the care we need both now and in the future.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Both of these programmes of work link with the Pilgrim ED Workforce plan to support the workforce needs for the new department.  </w:t>
      </w:r>
    </w:p>
    <w:p w:rsidR="003E1E32" w:rsidRPr="003E1E32" w:rsidRDefault="003E1E32" w:rsidP="003E1E32">
      <w:pPr>
        <w:spacing w:after="160" w:line="256" w:lineRule="auto"/>
        <w:rPr>
          <w:rFonts w:ascii="Calibri" w:eastAsia="Calibri" w:hAnsi="Calibri" w:cs="Times New Roman"/>
          <w:sz w:val="22"/>
        </w:rPr>
      </w:pPr>
    </w:p>
    <w:p w:rsidR="003E1E32" w:rsidRPr="003E1E32" w:rsidRDefault="003E1E32" w:rsidP="003E1E32">
      <w:pPr>
        <w:spacing w:after="160" w:line="256" w:lineRule="auto"/>
        <w:rPr>
          <w:rFonts w:ascii="Calibri" w:eastAsia="Calibri" w:hAnsi="Calibri" w:cs="Times New Roman"/>
          <w:sz w:val="22"/>
        </w:rPr>
      </w:pP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Whilst this plan is aspirational, there is acknowledgement that workforce challenges within the NHS have been recognised at a national level.  The new build at Pilgrim Hospital will provide an environment fit for purpose to deliver emergency care not just for the immediate future but for the next fifty years.  Patient and departmental safety is central to all decision making, and ensuring that the department is able to safely staff all areas is paramount to both.  A realistic recruitment trajectory will be developed ensuring full oversight of the workforce position.  Workforce will be identified as a risk to the project and mitigations will include staggered opening of the areas within the new build ensuring each area is appropriately staffed prior to use. </w:t>
      </w:r>
    </w:p>
    <w:p w:rsidR="003E1E32" w:rsidRPr="003E1E32" w:rsidRDefault="003E1E32" w:rsidP="003E1E32">
      <w:pPr>
        <w:spacing w:after="160" w:line="256" w:lineRule="auto"/>
        <w:rPr>
          <w:rFonts w:ascii="Calibri" w:eastAsia="Calibri" w:hAnsi="Calibri" w:cs="Times New Roman"/>
          <w:sz w:val="22"/>
        </w:rPr>
      </w:pPr>
      <w:bookmarkStart w:id="215" w:name="_Toc96712652"/>
      <w:r w:rsidRPr="003E1E32">
        <w:rPr>
          <w:rFonts w:ascii="Calibri" w:eastAsia="Calibri" w:hAnsi="Calibri" w:cs="Times New Roman"/>
          <w:sz w:val="22"/>
        </w:rPr>
        <w:t>Demand and Capacity - Estates</w:t>
      </w:r>
      <w:bookmarkEnd w:id="215"/>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The Urgent Treatment Centre (UTC) and ED estate capacity requirements have been assessed using the following sources:</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LCHS data from December 2019 (when the UTC was first introduced) to August 2021</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ULHT ED date from January 2019 to September 2021</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The Office for National Statistics (ONS) growth forecast for the area of 6%</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b/>
          <w:sz w:val="22"/>
        </w:rPr>
        <w:t>Table 1</w:t>
      </w:r>
      <w:r w:rsidRPr="003E1E32">
        <w:rPr>
          <w:rFonts w:ascii="Calibri" w:eastAsia="Calibri" w:hAnsi="Calibri" w:cs="Times New Roman"/>
          <w:sz w:val="22"/>
        </w:rPr>
        <w:t xml:space="preserve"> - Current vs required estates needs for the department. </w:t>
      </w:r>
    </w:p>
    <w:tbl>
      <w:tblPr>
        <w:tblW w:w="9776" w:type="dxa"/>
        <w:tblCellMar>
          <w:left w:w="0" w:type="dxa"/>
          <w:right w:w="0" w:type="dxa"/>
        </w:tblCellMar>
        <w:tblLook w:val="04A0" w:firstRow="1" w:lastRow="0" w:firstColumn="1" w:lastColumn="0" w:noHBand="0" w:noVBand="1"/>
      </w:tblPr>
      <w:tblGrid>
        <w:gridCol w:w="2122"/>
        <w:gridCol w:w="1559"/>
        <w:gridCol w:w="6095"/>
      </w:tblGrid>
      <w:tr w:rsidR="003E1E32" w:rsidRPr="003E1E32" w:rsidTr="003E1E32">
        <w:tc>
          <w:tcPr>
            <w:tcW w:w="2122" w:type="dxa"/>
            <w:tcBorders>
              <w:top w:val="single" w:sz="8" w:space="0" w:color="auto"/>
              <w:left w:val="single" w:sz="8" w:space="0" w:color="auto"/>
              <w:bottom w:val="single" w:sz="8" w:space="0" w:color="auto"/>
              <w:right w:val="single" w:sz="8" w:space="0" w:color="auto"/>
            </w:tcBorders>
            <w:shd w:val="clear" w:color="auto" w:fill="005EB8"/>
            <w:tcMar>
              <w:top w:w="0" w:type="dxa"/>
              <w:left w:w="108" w:type="dxa"/>
              <w:bottom w:w="0" w:type="dxa"/>
              <w:right w:w="108" w:type="dxa"/>
            </w:tcMar>
          </w:tcPr>
          <w:p w:rsidR="003E1E32" w:rsidRPr="003E1E32" w:rsidRDefault="003E1E32" w:rsidP="003E1E32">
            <w:pPr>
              <w:spacing w:after="160" w:line="256" w:lineRule="auto"/>
              <w:rPr>
                <w:rFonts w:ascii="Calibri" w:eastAsia="Calibri" w:hAnsi="Calibri" w:cs="Times New Roman"/>
                <w:color w:val="FFFFFF"/>
                <w:sz w:val="22"/>
              </w:rPr>
            </w:pPr>
          </w:p>
        </w:tc>
        <w:tc>
          <w:tcPr>
            <w:tcW w:w="1559" w:type="dxa"/>
            <w:tcBorders>
              <w:top w:val="single" w:sz="8" w:space="0" w:color="auto"/>
              <w:left w:val="nil"/>
              <w:bottom w:val="single" w:sz="8" w:space="0" w:color="auto"/>
              <w:right w:val="single" w:sz="8" w:space="0" w:color="auto"/>
            </w:tcBorders>
            <w:shd w:val="clear" w:color="auto" w:fill="005EB8"/>
            <w:tcMar>
              <w:top w:w="0" w:type="dxa"/>
              <w:left w:w="108" w:type="dxa"/>
              <w:bottom w:w="0" w:type="dxa"/>
              <w:right w:w="108" w:type="dxa"/>
            </w:tcMar>
            <w:hideMark/>
          </w:tcPr>
          <w:p w:rsidR="003E1E32" w:rsidRPr="003E1E32" w:rsidRDefault="003E1E32" w:rsidP="003E1E32">
            <w:pPr>
              <w:spacing w:after="160" w:line="256" w:lineRule="auto"/>
              <w:rPr>
                <w:rFonts w:ascii="Calibri" w:eastAsia="Calibri" w:hAnsi="Calibri" w:cs="Times New Roman"/>
                <w:color w:val="FFFFFF"/>
                <w:sz w:val="22"/>
              </w:rPr>
            </w:pPr>
            <w:r w:rsidRPr="003E1E32">
              <w:rPr>
                <w:rFonts w:ascii="Calibri" w:eastAsia="Calibri" w:hAnsi="Calibri" w:cs="Times New Roman"/>
                <w:color w:val="FFFFFF"/>
                <w:sz w:val="22"/>
              </w:rPr>
              <w:t>Current Cubicles</w:t>
            </w:r>
          </w:p>
        </w:tc>
        <w:tc>
          <w:tcPr>
            <w:tcW w:w="6095" w:type="dxa"/>
            <w:tcBorders>
              <w:top w:val="single" w:sz="8" w:space="0" w:color="auto"/>
              <w:left w:val="nil"/>
              <w:bottom w:val="single" w:sz="8" w:space="0" w:color="auto"/>
              <w:right w:val="single" w:sz="8" w:space="0" w:color="auto"/>
            </w:tcBorders>
            <w:shd w:val="clear" w:color="auto" w:fill="005EB8"/>
            <w:tcMar>
              <w:top w:w="0" w:type="dxa"/>
              <w:left w:w="108" w:type="dxa"/>
              <w:bottom w:w="0" w:type="dxa"/>
              <w:right w:w="108" w:type="dxa"/>
            </w:tcMar>
            <w:hideMark/>
          </w:tcPr>
          <w:p w:rsidR="003E1E32" w:rsidRPr="003E1E32" w:rsidRDefault="003E1E32" w:rsidP="003E1E32">
            <w:pPr>
              <w:spacing w:after="160" w:line="256" w:lineRule="auto"/>
              <w:rPr>
                <w:rFonts w:ascii="Calibri" w:eastAsia="Calibri" w:hAnsi="Calibri" w:cs="Times New Roman"/>
                <w:color w:val="FFFFFF"/>
                <w:sz w:val="22"/>
              </w:rPr>
            </w:pPr>
            <w:r w:rsidRPr="003E1E32">
              <w:rPr>
                <w:rFonts w:ascii="Calibri" w:eastAsia="Calibri" w:hAnsi="Calibri" w:cs="Times New Roman"/>
                <w:color w:val="FFFFFF"/>
                <w:sz w:val="22"/>
              </w:rPr>
              <w:t>Required Spaces / Cubicles</w:t>
            </w:r>
          </w:p>
        </w:tc>
      </w:tr>
      <w:tr w:rsidR="003E1E32" w:rsidRPr="003E1E32" w:rsidTr="003E1E32">
        <w:tc>
          <w:tcPr>
            <w:tcW w:w="21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E1E32" w:rsidRPr="003E1E32" w:rsidRDefault="003E1E32" w:rsidP="003E1E32">
            <w:pPr>
              <w:spacing w:after="160" w:line="256" w:lineRule="auto"/>
              <w:rPr>
                <w:rFonts w:ascii="Calibri" w:eastAsia="Calibri" w:hAnsi="Calibri" w:cs="Times New Roman"/>
                <w:sz w:val="22"/>
              </w:rPr>
            </w:pPr>
            <w:proofErr w:type="spellStart"/>
            <w:r w:rsidRPr="003E1E32">
              <w:rPr>
                <w:rFonts w:ascii="Calibri" w:eastAsia="Calibri" w:hAnsi="Calibri" w:cs="Times New Roman"/>
                <w:sz w:val="22"/>
              </w:rPr>
              <w:t>Resus</w:t>
            </w:r>
            <w:proofErr w:type="spellEnd"/>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4</w:t>
            </w:r>
          </w:p>
        </w:tc>
        <w:tc>
          <w:tcPr>
            <w:tcW w:w="6095" w:type="dxa"/>
            <w:tcBorders>
              <w:top w:val="nil"/>
              <w:left w:val="nil"/>
              <w:bottom w:val="single" w:sz="8" w:space="0" w:color="auto"/>
              <w:right w:val="single" w:sz="8" w:space="0" w:color="auto"/>
            </w:tcBorders>
            <w:tcMar>
              <w:top w:w="0" w:type="dxa"/>
              <w:left w:w="108" w:type="dxa"/>
              <w:bottom w:w="0" w:type="dxa"/>
              <w:right w:w="108" w:type="dxa"/>
            </w:tcMar>
            <w:hideMark/>
          </w:tcPr>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8</w:t>
            </w:r>
          </w:p>
        </w:tc>
      </w:tr>
      <w:tr w:rsidR="003E1E32" w:rsidRPr="003E1E32" w:rsidTr="003E1E32">
        <w:tc>
          <w:tcPr>
            <w:tcW w:w="21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Majors</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8</w:t>
            </w:r>
          </w:p>
        </w:tc>
        <w:tc>
          <w:tcPr>
            <w:tcW w:w="6095" w:type="dxa"/>
            <w:tcBorders>
              <w:top w:val="nil"/>
              <w:left w:val="nil"/>
              <w:bottom w:val="single" w:sz="8" w:space="0" w:color="auto"/>
              <w:right w:val="single" w:sz="8" w:space="0" w:color="auto"/>
            </w:tcBorders>
            <w:tcMar>
              <w:top w:w="0" w:type="dxa"/>
              <w:left w:w="108" w:type="dxa"/>
              <w:bottom w:w="0" w:type="dxa"/>
              <w:right w:w="108" w:type="dxa"/>
            </w:tcMar>
            <w:hideMark/>
          </w:tcPr>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43  (11 majors + 6 RAIT + 3 speciality + 3 step up + 20 F2S</w:t>
            </w:r>
          </w:p>
        </w:tc>
      </w:tr>
      <w:tr w:rsidR="003E1E32" w:rsidRPr="003E1E32" w:rsidTr="003E1E32">
        <w:tc>
          <w:tcPr>
            <w:tcW w:w="21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UTC (</w:t>
            </w:r>
            <w:proofErr w:type="spellStart"/>
            <w:r w:rsidRPr="003E1E32">
              <w:rPr>
                <w:rFonts w:ascii="Calibri" w:eastAsia="Calibri" w:hAnsi="Calibri" w:cs="Times New Roman"/>
                <w:sz w:val="22"/>
              </w:rPr>
              <w:t>inc</w:t>
            </w:r>
            <w:proofErr w:type="spellEnd"/>
            <w:r w:rsidRPr="003E1E32">
              <w:rPr>
                <w:rFonts w:ascii="Calibri" w:eastAsia="Calibri" w:hAnsi="Calibri" w:cs="Times New Roman"/>
                <w:sz w:val="22"/>
              </w:rPr>
              <w:t xml:space="preserve"> minors)</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6</w:t>
            </w:r>
          </w:p>
        </w:tc>
        <w:tc>
          <w:tcPr>
            <w:tcW w:w="6095" w:type="dxa"/>
            <w:tcBorders>
              <w:top w:val="nil"/>
              <w:left w:val="nil"/>
              <w:bottom w:val="single" w:sz="8" w:space="0" w:color="auto"/>
              <w:right w:val="single" w:sz="8" w:space="0" w:color="auto"/>
            </w:tcBorders>
            <w:tcMar>
              <w:top w:w="0" w:type="dxa"/>
              <w:left w:w="108" w:type="dxa"/>
              <w:bottom w:w="0" w:type="dxa"/>
              <w:right w:w="108" w:type="dxa"/>
            </w:tcMar>
            <w:hideMark/>
          </w:tcPr>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9 (8 consultation + 1 observation / phlebotomy room)</w:t>
            </w:r>
          </w:p>
        </w:tc>
      </w:tr>
      <w:tr w:rsidR="003E1E32" w:rsidRPr="003E1E32" w:rsidTr="003E1E32">
        <w:tc>
          <w:tcPr>
            <w:tcW w:w="21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Paediatrics</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1</w:t>
            </w:r>
          </w:p>
        </w:tc>
        <w:tc>
          <w:tcPr>
            <w:tcW w:w="6095" w:type="dxa"/>
            <w:tcBorders>
              <w:top w:val="nil"/>
              <w:left w:val="nil"/>
              <w:bottom w:val="single" w:sz="8" w:space="0" w:color="auto"/>
              <w:right w:val="single" w:sz="8" w:space="0" w:color="auto"/>
            </w:tcBorders>
            <w:tcMar>
              <w:top w:w="0" w:type="dxa"/>
              <w:left w:w="108" w:type="dxa"/>
              <w:bottom w:w="0" w:type="dxa"/>
              <w:right w:w="108" w:type="dxa"/>
            </w:tcMar>
            <w:hideMark/>
          </w:tcPr>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4</w:t>
            </w:r>
          </w:p>
        </w:tc>
      </w:tr>
    </w:tbl>
    <w:p w:rsidR="003E1E32" w:rsidRPr="003E1E32" w:rsidRDefault="003E1E32" w:rsidP="003E1E32">
      <w:pPr>
        <w:spacing w:after="160" w:line="256" w:lineRule="auto"/>
        <w:rPr>
          <w:rFonts w:ascii="Calibri" w:eastAsia="Calibri" w:hAnsi="Calibri" w:cs="Times New Roman"/>
          <w:sz w:val="22"/>
        </w:rPr>
      </w:pPr>
    </w:p>
    <w:p w:rsidR="003E1E32" w:rsidRPr="003E1E32" w:rsidRDefault="003E1E32" w:rsidP="003E1E32">
      <w:pPr>
        <w:spacing w:after="160" w:line="256" w:lineRule="auto"/>
        <w:rPr>
          <w:rFonts w:ascii="Calibri" w:eastAsia="Calibri" w:hAnsi="Calibri" w:cs="Times New Roman"/>
          <w:sz w:val="22"/>
        </w:rPr>
      </w:pPr>
      <w:bookmarkStart w:id="216" w:name="_Toc96712653"/>
      <w:r w:rsidRPr="003E1E32">
        <w:rPr>
          <w:rFonts w:ascii="Calibri" w:eastAsia="Calibri" w:hAnsi="Calibri" w:cs="Times New Roman"/>
          <w:sz w:val="22"/>
        </w:rPr>
        <w:t>Demand and Capacity - Workforce</w:t>
      </w:r>
      <w:bookmarkEnd w:id="216"/>
    </w:p>
    <w:p w:rsidR="003E1E32" w:rsidRPr="003E1E32" w:rsidRDefault="003E1E32" w:rsidP="003E1E32">
      <w:pPr>
        <w:spacing w:after="160" w:line="256" w:lineRule="auto"/>
        <w:rPr>
          <w:rFonts w:ascii="Calibri" w:eastAsia="Calibri" w:hAnsi="Calibri" w:cs="Times New Roman"/>
          <w:sz w:val="22"/>
        </w:rPr>
      </w:pPr>
      <w:bookmarkStart w:id="217" w:name="_Toc96712654"/>
      <w:r w:rsidRPr="003E1E32">
        <w:rPr>
          <w:rFonts w:ascii="Calibri" w:eastAsia="Calibri" w:hAnsi="Calibri" w:cs="Times New Roman"/>
          <w:sz w:val="22"/>
        </w:rPr>
        <w:t>4.1    Medical Workforce</w:t>
      </w:r>
      <w:bookmarkEnd w:id="217"/>
      <w:r w:rsidRPr="003E1E32">
        <w:rPr>
          <w:rFonts w:ascii="Calibri" w:eastAsia="Calibri" w:hAnsi="Calibri" w:cs="Times New Roman"/>
          <w:sz w:val="22"/>
        </w:rPr>
        <w:t xml:space="preserve">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The ED workforce Demand and Capacity modelling undertaken utilised the following assumptions:</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Identification of the optimal site-specific workforce required for Tier 1 (Junior Doctors) Tier 2 (Middle Grade Doctors) and Tier 3 (Consultants_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Minimising the average cost / risk (overstaffed vs understaffed) by factoring staffing capacity and desired demand</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Modelled at 80 percentile demand requirement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Health Care Professional productivity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Utilised data period from March 2019 – February 2020</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b/>
          <w:sz w:val="22"/>
        </w:rPr>
        <w:t>Table 2</w:t>
      </w:r>
      <w:r w:rsidRPr="003E1E32">
        <w:rPr>
          <w:rFonts w:ascii="Calibri" w:eastAsia="Calibri" w:hAnsi="Calibri" w:cs="Times New Roman"/>
          <w:sz w:val="22"/>
        </w:rPr>
        <w:t xml:space="preserve"> – Pilgrim ED Medical Workforce Requirements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noProof/>
          <w:sz w:val="22"/>
          <w:lang w:eastAsia="en-GB"/>
        </w:rPr>
        <w:lastRenderedPageBreak/>
        <w:drawing>
          <wp:inline distT="0" distB="0" distL="0" distR="0" wp14:anchorId="523BD34B" wp14:editId="6991B660">
            <wp:extent cx="5943600" cy="1009650"/>
            <wp:effectExtent l="0" t="0" r="0" b="0"/>
            <wp:docPr id="2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1009650"/>
                    </a:xfrm>
                    <a:prstGeom prst="rect">
                      <a:avLst/>
                    </a:prstGeom>
                    <a:noFill/>
                    <a:ln>
                      <a:noFill/>
                    </a:ln>
                  </pic:spPr>
                </pic:pic>
              </a:graphicData>
            </a:graphic>
          </wp:inline>
        </w:drawing>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In addition to the demand, it is important to ensure that there is sufficient cover to ensure all areas in the new department are staffed including:</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Paediatric </w:t>
      </w:r>
    </w:p>
    <w:p w:rsidR="003E1E32" w:rsidRPr="003E1E32" w:rsidRDefault="003E1E32" w:rsidP="003E1E32">
      <w:pPr>
        <w:spacing w:after="160" w:line="256" w:lineRule="auto"/>
        <w:rPr>
          <w:rFonts w:ascii="Calibri" w:eastAsia="Calibri" w:hAnsi="Calibri" w:cs="Times New Roman"/>
          <w:sz w:val="22"/>
        </w:rPr>
      </w:pPr>
      <w:proofErr w:type="spellStart"/>
      <w:r w:rsidRPr="003E1E32">
        <w:rPr>
          <w:rFonts w:ascii="Calibri" w:eastAsia="Calibri" w:hAnsi="Calibri" w:cs="Times New Roman"/>
          <w:sz w:val="22"/>
        </w:rPr>
        <w:t>Resus</w:t>
      </w:r>
      <w:proofErr w:type="spellEnd"/>
      <w:r w:rsidRPr="003E1E32">
        <w:rPr>
          <w:rFonts w:ascii="Calibri" w:eastAsia="Calibri" w:hAnsi="Calibri" w:cs="Times New Roman"/>
          <w:sz w:val="22"/>
        </w:rPr>
        <w:t xml:space="preserve">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Rapid Assessment and Treatment (RAT)</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Majors</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Fit 2 Sit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Walk in RAT</w:t>
      </w:r>
    </w:p>
    <w:p w:rsidR="003E1E32" w:rsidRPr="003E1E32" w:rsidRDefault="003E1E32" w:rsidP="003E1E32">
      <w:pPr>
        <w:spacing w:after="160" w:line="256" w:lineRule="auto"/>
        <w:rPr>
          <w:rFonts w:ascii="Calibri" w:eastAsia="Calibri" w:hAnsi="Calibri" w:cs="Times New Roman"/>
          <w:sz w:val="22"/>
        </w:rPr>
      </w:pPr>
      <w:bookmarkStart w:id="218" w:name="_Toc96712655"/>
      <w:r w:rsidRPr="003E1E32">
        <w:rPr>
          <w:rFonts w:ascii="Calibri" w:eastAsia="Calibri" w:hAnsi="Calibri" w:cs="Times New Roman"/>
          <w:sz w:val="22"/>
        </w:rPr>
        <w:t>Nursing Workforce</w:t>
      </w:r>
      <w:bookmarkEnd w:id="218"/>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ULHT utilised the Baseline Emergency Staffing Tool (BEST) to support the annual establishment review led by the Director of Nursing.  The tool has been developed by the RCN Emergency Care Association (ECA) and Faculty of Emergency Nursing (FEN).  The tool allows:</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Analysing the volume and pattern of nursing workload in the ED</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Track this against the rostered staffing levels</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Calculate the whole time equivalent workforce and skill mix which would be required to provide the nursing care needed in the department during the audit period</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The tool does not produce recommended staffing levels but will allow EDs to work locally to reduce any disparity between workload and staffing for example improving patients pathways, departmental processes rota demands and actual staffing.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The BEST calculations work by using nurse-to-patient ratios in the various dependency categories.  The ratios used are:</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Total dependency – 2 nurses to 1 patient</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High dependency – 1 nurse to 1 patient</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Moderate dependency – 1 nurse to 2 patients</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Low dependency – 1 nurse to 3.5 patients</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The hourly data sets used by BEST are:</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Patient dependency volume in the department using the Jones Dependency Tool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The total number of staff rostered to be clinical on shift in the department</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lastRenderedPageBreak/>
        <w:t xml:space="preserve">A calculation will also provide an indication of what skill mix breakdown is required in the whole time equivalent workforce in the ED.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Following the annual data collection utilising the BEST calculations, the nursing team within the Clinical Business Unit analyse output and propose an establishment for Director of Nursing approval pending agreement by the Trust Board.  </w:t>
      </w:r>
    </w:p>
    <w:p w:rsidR="003E1E32" w:rsidRPr="003E1E32" w:rsidRDefault="003E1E32" w:rsidP="003E1E32">
      <w:pPr>
        <w:spacing w:after="160" w:line="256" w:lineRule="auto"/>
        <w:rPr>
          <w:rFonts w:ascii="Calibri" w:eastAsia="Calibri" w:hAnsi="Calibri" w:cs="Times New Roman"/>
          <w:sz w:val="22"/>
        </w:rPr>
      </w:pPr>
      <w:bookmarkStart w:id="219" w:name="_Toc96712656"/>
      <w:r w:rsidRPr="003E1E32">
        <w:rPr>
          <w:rFonts w:ascii="Calibri" w:eastAsia="Calibri" w:hAnsi="Calibri" w:cs="Times New Roman"/>
          <w:sz w:val="22"/>
        </w:rPr>
        <w:t>Medical Workforce</w:t>
      </w:r>
      <w:bookmarkEnd w:id="219"/>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Triangulating the departmental demand and capacity, workforce demand and capacity and the future estates requirements the future workforce requirements have been calculated.  The uplift in WTE ensures the following:</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Dedicated Paediatric Middle Grade</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Additional </w:t>
      </w:r>
      <w:proofErr w:type="spellStart"/>
      <w:r w:rsidRPr="003E1E32">
        <w:rPr>
          <w:rFonts w:ascii="Calibri" w:eastAsia="Calibri" w:hAnsi="Calibri" w:cs="Times New Roman"/>
          <w:sz w:val="22"/>
        </w:rPr>
        <w:t>Resus</w:t>
      </w:r>
      <w:proofErr w:type="spellEnd"/>
      <w:r w:rsidRPr="003E1E32">
        <w:rPr>
          <w:rFonts w:ascii="Calibri" w:eastAsia="Calibri" w:hAnsi="Calibri" w:cs="Times New Roman"/>
          <w:sz w:val="22"/>
        </w:rPr>
        <w:t xml:space="preserve"> Middle Grade</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Dedicated Fit 2 Sit Middle Grade</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b/>
          <w:sz w:val="22"/>
        </w:rPr>
        <w:t xml:space="preserve">Table 3 </w:t>
      </w:r>
      <w:r w:rsidRPr="003E1E32">
        <w:rPr>
          <w:rFonts w:ascii="Calibri" w:eastAsia="Calibri" w:hAnsi="Calibri" w:cs="Times New Roman"/>
          <w:sz w:val="22"/>
        </w:rPr>
        <w:t xml:space="preserve">– Proposed Medical Establishment </w:t>
      </w:r>
    </w:p>
    <w:tbl>
      <w:tblPr>
        <w:tblStyle w:val="TableGrid2"/>
        <w:tblW w:w="0" w:type="auto"/>
        <w:tblInd w:w="0" w:type="dxa"/>
        <w:tblLook w:val="04A0" w:firstRow="1" w:lastRow="0" w:firstColumn="1" w:lastColumn="0" w:noHBand="0" w:noVBand="1"/>
      </w:tblPr>
      <w:tblGrid>
        <w:gridCol w:w="3012"/>
        <w:gridCol w:w="2997"/>
        <w:gridCol w:w="3007"/>
      </w:tblGrid>
      <w:tr w:rsidR="003E1E32" w:rsidRPr="003E1E32" w:rsidTr="003E1E32">
        <w:tc>
          <w:tcPr>
            <w:tcW w:w="3115" w:type="dxa"/>
            <w:tcBorders>
              <w:top w:val="single" w:sz="4" w:space="0" w:color="auto"/>
              <w:left w:val="single" w:sz="4" w:space="0" w:color="auto"/>
              <w:bottom w:val="single" w:sz="4" w:space="0" w:color="auto"/>
              <w:right w:val="single" w:sz="4" w:space="0" w:color="auto"/>
            </w:tcBorders>
            <w:shd w:val="clear" w:color="auto" w:fill="005EB8"/>
          </w:tcPr>
          <w:p w:rsidR="003E1E32" w:rsidRPr="003E1E32" w:rsidRDefault="003E1E32" w:rsidP="003E1E32">
            <w:pPr>
              <w:rPr>
                <w:rFonts w:ascii="Calibri" w:hAnsi="Calibri"/>
                <w:color w:val="FFFFFF"/>
                <w:sz w:val="22"/>
              </w:rPr>
            </w:pPr>
          </w:p>
        </w:tc>
        <w:tc>
          <w:tcPr>
            <w:tcW w:w="3115" w:type="dxa"/>
            <w:tcBorders>
              <w:top w:val="single" w:sz="4" w:space="0" w:color="auto"/>
              <w:left w:val="single" w:sz="4" w:space="0" w:color="auto"/>
              <w:bottom w:val="single" w:sz="4" w:space="0" w:color="auto"/>
              <w:right w:val="single" w:sz="4" w:space="0" w:color="auto"/>
            </w:tcBorders>
            <w:shd w:val="clear" w:color="auto" w:fill="005EB8"/>
            <w:hideMark/>
          </w:tcPr>
          <w:p w:rsidR="003E1E32" w:rsidRPr="003E1E32" w:rsidRDefault="003E1E32" w:rsidP="003E1E32">
            <w:pPr>
              <w:rPr>
                <w:rFonts w:ascii="Calibri" w:hAnsi="Calibri"/>
                <w:color w:val="FFFFFF"/>
                <w:sz w:val="22"/>
              </w:rPr>
            </w:pPr>
            <w:r w:rsidRPr="003E1E32">
              <w:rPr>
                <w:rFonts w:ascii="Calibri" w:hAnsi="Calibri"/>
                <w:color w:val="FFFFFF"/>
                <w:sz w:val="22"/>
              </w:rPr>
              <w:t>Current</w:t>
            </w:r>
          </w:p>
        </w:tc>
        <w:tc>
          <w:tcPr>
            <w:tcW w:w="3116" w:type="dxa"/>
            <w:tcBorders>
              <w:top w:val="single" w:sz="4" w:space="0" w:color="auto"/>
              <w:left w:val="single" w:sz="4" w:space="0" w:color="auto"/>
              <w:bottom w:val="single" w:sz="4" w:space="0" w:color="auto"/>
              <w:right w:val="single" w:sz="4" w:space="0" w:color="auto"/>
            </w:tcBorders>
            <w:shd w:val="clear" w:color="auto" w:fill="005EB8"/>
            <w:hideMark/>
          </w:tcPr>
          <w:p w:rsidR="003E1E32" w:rsidRPr="003E1E32" w:rsidRDefault="003E1E32" w:rsidP="003E1E32">
            <w:pPr>
              <w:rPr>
                <w:rFonts w:ascii="Calibri" w:hAnsi="Calibri"/>
                <w:color w:val="FFFFFF"/>
                <w:sz w:val="22"/>
              </w:rPr>
            </w:pPr>
            <w:r w:rsidRPr="003E1E32">
              <w:rPr>
                <w:rFonts w:ascii="Calibri" w:hAnsi="Calibri"/>
                <w:color w:val="FFFFFF"/>
                <w:sz w:val="22"/>
              </w:rPr>
              <w:t>Proposed</w:t>
            </w:r>
          </w:p>
        </w:tc>
      </w:tr>
      <w:tr w:rsidR="003E1E32" w:rsidRPr="003E1E32" w:rsidTr="003E1E32">
        <w:tc>
          <w:tcPr>
            <w:tcW w:w="3115"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 xml:space="preserve">Jr </w:t>
            </w:r>
          </w:p>
        </w:tc>
        <w:tc>
          <w:tcPr>
            <w:tcW w:w="3115"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 xml:space="preserve">12 WTE </w:t>
            </w:r>
          </w:p>
        </w:tc>
        <w:tc>
          <w:tcPr>
            <w:tcW w:w="3116"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24 WTE</w:t>
            </w:r>
          </w:p>
        </w:tc>
      </w:tr>
      <w:tr w:rsidR="003E1E32" w:rsidRPr="003E1E32" w:rsidTr="003E1E32">
        <w:tc>
          <w:tcPr>
            <w:tcW w:w="3115"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Middle Grades</w:t>
            </w:r>
          </w:p>
        </w:tc>
        <w:tc>
          <w:tcPr>
            <w:tcW w:w="3115"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25 WTE</w:t>
            </w:r>
          </w:p>
        </w:tc>
        <w:tc>
          <w:tcPr>
            <w:tcW w:w="3116"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38 WTE</w:t>
            </w:r>
          </w:p>
        </w:tc>
      </w:tr>
      <w:tr w:rsidR="003E1E32" w:rsidRPr="003E1E32" w:rsidTr="003E1E32">
        <w:tc>
          <w:tcPr>
            <w:tcW w:w="3115"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 xml:space="preserve">Consultant </w:t>
            </w:r>
          </w:p>
        </w:tc>
        <w:tc>
          <w:tcPr>
            <w:tcW w:w="3115"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12 WTE</w:t>
            </w:r>
          </w:p>
        </w:tc>
        <w:tc>
          <w:tcPr>
            <w:tcW w:w="3116"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u w:val="words"/>
              </w:rPr>
            </w:pPr>
            <w:r w:rsidRPr="003E1E32">
              <w:rPr>
                <w:rFonts w:ascii="Calibri" w:hAnsi="Calibri"/>
                <w:sz w:val="22"/>
              </w:rPr>
              <w:t>15 WTE</w:t>
            </w:r>
          </w:p>
        </w:tc>
      </w:tr>
    </w:tbl>
    <w:p w:rsidR="003E1E32" w:rsidRPr="003E1E32" w:rsidRDefault="003E1E32" w:rsidP="003E1E32">
      <w:pPr>
        <w:spacing w:after="160" w:line="256" w:lineRule="auto"/>
        <w:rPr>
          <w:rFonts w:ascii="Calibri" w:eastAsia="Calibri" w:hAnsi="Calibri" w:cs="Times New Roman"/>
          <w:sz w:val="22"/>
        </w:rPr>
      </w:pPr>
      <w:bookmarkStart w:id="220" w:name="_Toc96712657"/>
      <w:r w:rsidRPr="003E1E32">
        <w:rPr>
          <w:rFonts w:ascii="Calibri" w:eastAsia="Calibri" w:hAnsi="Calibri" w:cs="Times New Roman"/>
          <w:sz w:val="22"/>
        </w:rPr>
        <w:t>Nursing Workforce</w:t>
      </w:r>
      <w:bookmarkEnd w:id="220"/>
      <w:r w:rsidRPr="003E1E32">
        <w:rPr>
          <w:rFonts w:ascii="Calibri" w:eastAsia="Calibri" w:hAnsi="Calibri" w:cs="Times New Roman"/>
          <w:sz w:val="22"/>
        </w:rPr>
        <w:t xml:space="preserve">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The nursing establishment requirements will continue to be reviewed on an annual basis; however the anticipated template below takes into account the increase in estate, and increase in demand identified in the demand and capacity.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b/>
          <w:sz w:val="22"/>
        </w:rPr>
        <w:t xml:space="preserve">Table 4 </w:t>
      </w:r>
      <w:r w:rsidRPr="003E1E32">
        <w:rPr>
          <w:rFonts w:ascii="Calibri" w:eastAsia="Calibri" w:hAnsi="Calibri" w:cs="Times New Roman"/>
          <w:sz w:val="22"/>
        </w:rPr>
        <w:t xml:space="preserve">– Proposed Nursing Establishment </w:t>
      </w:r>
    </w:p>
    <w:tbl>
      <w:tblPr>
        <w:tblStyle w:val="TableGrid2"/>
        <w:tblW w:w="0" w:type="auto"/>
        <w:tblInd w:w="0" w:type="dxa"/>
        <w:tblLook w:val="04A0" w:firstRow="1" w:lastRow="0" w:firstColumn="1" w:lastColumn="0" w:noHBand="0" w:noVBand="1"/>
      </w:tblPr>
      <w:tblGrid>
        <w:gridCol w:w="2261"/>
        <w:gridCol w:w="2246"/>
        <w:gridCol w:w="2262"/>
        <w:gridCol w:w="2247"/>
      </w:tblGrid>
      <w:tr w:rsidR="003E1E32" w:rsidRPr="003E1E32" w:rsidTr="003E1E32">
        <w:tc>
          <w:tcPr>
            <w:tcW w:w="2336" w:type="dxa"/>
            <w:tcBorders>
              <w:top w:val="single" w:sz="4" w:space="0" w:color="auto"/>
              <w:left w:val="single" w:sz="4" w:space="0" w:color="auto"/>
              <w:bottom w:val="single" w:sz="4" w:space="0" w:color="auto"/>
              <w:right w:val="single" w:sz="4" w:space="0" w:color="auto"/>
            </w:tcBorders>
            <w:shd w:val="clear" w:color="auto" w:fill="005EB8"/>
            <w:hideMark/>
          </w:tcPr>
          <w:p w:rsidR="003E1E32" w:rsidRPr="003E1E32" w:rsidRDefault="003E1E32" w:rsidP="003E1E32">
            <w:pPr>
              <w:rPr>
                <w:rFonts w:ascii="Calibri" w:hAnsi="Calibri"/>
                <w:color w:val="FFFFFF"/>
                <w:sz w:val="22"/>
              </w:rPr>
            </w:pPr>
            <w:r w:rsidRPr="003E1E32">
              <w:rPr>
                <w:rFonts w:ascii="Calibri" w:hAnsi="Calibri"/>
                <w:color w:val="FFFFFF"/>
                <w:sz w:val="22"/>
              </w:rPr>
              <w:t>Current Estate</w:t>
            </w:r>
          </w:p>
        </w:tc>
        <w:tc>
          <w:tcPr>
            <w:tcW w:w="2336" w:type="dxa"/>
            <w:tcBorders>
              <w:top w:val="single" w:sz="4" w:space="0" w:color="auto"/>
              <w:left w:val="single" w:sz="4" w:space="0" w:color="auto"/>
              <w:bottom w:val="single" w:sz="4" w:space="0" w:color="auto"/>
              <w:right w:val="single" w:sz="4" w:space="0" w:color="auto"/>
            </w:tcBorders>
            <w:shd w:val="clear" w:color="auto" w:fill="005EB8"/>
            <w:hideMark/>
          </w:tcPr>
          <w:p w:rsidR="003E1E32" w:rsidRPr="003E1E32" w:rsidRDefault="003E1E32" w:rsidP="003E1E32">
            <w:pPr>
              <w:rPr>
                <w:rFonts w:ascii="Calibri" w:hAnsi="Calibri"/>
                <w:color w:val="FFFFFF"/>
                <w:sz w:val="22"/>
              </w:rPr>
            </w:pPr>
            <w:r w:rsidRPr="003E1E32">
              <w:rPr>
                <w:rFonts w:ascii="Calibri" w:hAnsi="Calibri"/>
                <w:color w:val="FFFFFF"/>
                <w:sz w:val="22"/>
              </w:rPr>
              <w:t>Current Template</w:t>
            </w:r>
          </w:p>
        </w:tc>
        <w:tc>
          <w:tcPr>
            <w:tcW w:w="2337" w:type="dxa"/>
            <w:tcBorders>
              <w:top w:val="single" w:sz="4" w:space="0" w:color="auto"/>
              <w:left w:val="single" w:sz="4" w:space="0" w:color="auto"/>
              <w:bottom w:val="single" w:sz="4" w:space="0" w:color="auto"/>
              <w:right w:val="single" w:sz="4" w:space="0" w:color="auto"/>
            </w:tcBorders>
            <w:shd w:val="clear" w:color="auto" w:fill="005EB8"/>
            <w:hideMark/>
          </w:tcPr>
          <w:p w:rsidR="003E1E32" w:rsidRPr="003E1E32" w:rsidRDefault="003E1E32" w:rsidP="003E1E32">
            <w:pPr>
              <w:rPr>
                <w:rFonts w:ascii="Calibri" w:hAnsi="Calibri"/>
                <w:color w:val="FFFFFF"/>
                <w:sz w:val="22"/>
              </w:rPr>
            </w:pPr>
            <w:r w:rsidRPr="003E1E32">
              <w:rPr>
                <w:rFonts w:ascii="Calibri" w:hAnsi="Calibri"/>
                <w:color w:val="FFFFFF"/>
                <w:sz w:val="22"/>
              </w:rPr>
              <w:t>Future Estate</w:t>
            </w:r>
          </w:p>
        </w:tc>
        <w:tc>
          <w:tcPr>
            <w:tcW w:w="2337" w:type="dxa"/>
            <w:tcBorders>
              <w:top w:val="single" w:sz="4" w:space="0" w:color="auto"/>
              <w:left w:val="single" w:sz="4" w:space="0" w:color="auto"/>
              <w:bottom w:val="single" w:sz="4" w:space="0" w:color="auto"/>
              <w:right w:val="single" w:sz="4" w:space="0" w:color="auto"/>
            </w:tcBorders>
            <w:shd w:val="clear" w:color="auto" w:fill="005EB8"/>
            <w:hideMark/>
          </w:tcPr>
          <w:p w:rsidR="003E1E32" w:rsidRPr="003E1E32" w:rsidRDefault="003E1E32" w:rsidP="003E1E32">
            <w:pPr>
              <w:rPr>
                <w:rFonts w:ascii="Calibri" w:hAnsi="Calibri"/>
                <w:color w:val="FFFFFF"/>
                <w:sz w:val="22"/>
              </w:rPr>
            </w:pPr>
            <w:r w:rsidRPr="003E1E32">
              <w:rPr>
                <w:rFonts w:ascii="Calibri" w:hAnsi="Calibri"/>
                <w:color w:val="FFFFFF"/>
                <w:sz w:val="22"/>
              </w:rPr>
              <w:t>Proposed Template</w:t>
            </w:r>
          </w:p>
        </w:tc>
      </w:tr>
      <w:tr w:rsidR="003E1E32" w:rsidRPr="003E1E32" w:rsidTr="003E1E32">
        <w:tc>
          <w:tcPr>
            <w:tcW w:w="2336" w:type="dxa"/>
            <w:tcBorders>
              <w:top w:val="single" w:sz="4" w:space="0" w:color="auto"/>
              <w:left w:val="single" w:sz="4" w:space="0" w:color="auto"/>
              <w:bottom w:val="single" w:sz="4" w:space="0" w:color="auto"/>
              <w:right w:val="single" w:sz="4" w:space="0" w:color="auto"/>
            </w:tcBorders>
          </w:tcPr>
          <w:p w:rsidR="003E1E32" w:rsidRPr="003E1E32" w:rsidRDefault="003E1E32" w:rsidP="003E1E32">
            <w:pPr>
              <w:rPr>
                <w:rFonts w:ascii="Calibri" w:hAnsi="Calibri"/>
                <w:sz w:val="22"/>
              </w:rPr>
            </w:pPr>
            <w:r w:rsidRPr="003E1E32">
              <w:rPr>
                <w:rFonts w:ascii="Calibri" w:hAnsi="Calibri"/>
                <w:sz w:val="22"/>
              </w:rPr>
              <w:t>Nurse in Charge</w:t>
            </w:r>
          </w:p>
          <w:p w:rsidR="003E1E32" w:rsidRPr="003E1E32" w:rsidRDefault="003E1E32" w:rsidP="003E1E32">
            <w:pPr>
              <w:rPr>
                <w:rFonts w:ascii="Calibri" w:hAnsi="Calibri"/>
                <w:sz w:val="22"/>
              </w:rPr>
            </w:pPr>
          </w:p>
        </w:tc>
        <w:tc>
          <w:tcPr>
            <w:tcW w:w="2336"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1</w:t>
            </w:r>
          </w:p>
        </w:tc>
        <w:tc>
          <w:tcPr>
            <w:tcW w:w="2337"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Nurse in Charge</w:t>
            </w:r>
          </w:p>
        </w:tc>
        <w:tc>
          <w:tcPr>
            <w:tcW w:w="2337"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1</w:t>
            </w:r>
          </w:p>
        </w:tc>
      </w:tr>
      <w:tr w:rsidR="003E1E32" w:rsidRPr="003E1E32" w:rsidTr="003E1E32">
        <w:tc>
          <w:tcPr>
            <w:tcW w:w="2336"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Pre Hospital Practitioner</w:t>
            </w:r>
          </w:p>
        </w:tc>
        <w:tc>
          <w:tcPr>
            <w:tcW w:w="2336"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1</w:t>
            </w:r>
          </w:p>
        </w:tc>
        <w:tc>
          <w:tcPr>
            <w:tcW w:w="2337"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Pre Hospital Practitioner</w:t>
            </w:r>
          </w:p>
        </w:tc>
        <w:tc>
          <w:tcPr>
            <w:tcW w:w="2337"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1</w:t>
            </w:r>
          </w:p>
        </w:tc>
      </w:tr>
      <w:tr w:rsidR="003E1E32" w:rsidRPr="003E1E32" w:rsidTr="003E1E32">
        <w:tc>
          <w:tcPr>
            <w:tcW w:w="2336"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Fit 2 Sit (16 spaces)</w:t>
            </w:r>
          </w:p>
        </w:tc>
        <w:tc>
          <w:tcPr>
            <w:tcW w:w="2336"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2 x RN</w:t>
            </w:r>
          </w:p>
          <w:p w:rsidR="003E1E32" w:rsidRPr="003E1E32" w:rsidRDefault="003E1E32" w:rsidP="003E1E32">
            <w:pPr>
              <w:rPr>
                <w:rFonts w:ascii="Calibri" w:hAnsi="Calibri"/>
                <w:sz w:val="22"/>
              </w:rPr>
            </w:pPr>
            <w:r w:rsidRPr="003E1E32">
              <w:rPr>
                <w:rFonts w:ascii="Calibri" w:hAnsi="Calibri"/>
                <w:sz w:val="22"/>
              </w:rPr>
              <w:t>1 x HCSW</w:t>
            </w:r>
          </w:p>
        </w:tc>
        <w:tc>
          <w:tcPr>
            <w:tcW w:w="2337"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Fit 2 Sit (23 spaces)</w:t>
            </w:r>
          </w:p>
        </w:tc>
        <w:tc>
          <w:tcPr>
            <w:tcW w:w="2337"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3 x RN</w:t>
            </w:r>
          </w:p>
          <w:p w:rsidR="003E1E32" w:rsidRPr="003E1E32" w:rsidRDefault="003E1E32" w:rsidP="003E1E32">
            <w:pPr>
              <w:rPr>
                <w:rFonts w:ascii="Calibri" w:hAnsi="Calibri"/>
                <w:sz w:val="22"/>
              </w:rPr>
            </w:pPr>
            <w:r w:rsidRPr="003E1E32">
              <w:rPr>
                <w:rFonts w:ascii="Calibri" w:hAnsi="Calibri"/>
                <w:sz w:val="22"/>
              </w:rPr>
              <w:t>1 x HCSW</w:t>
            </w:r>
          </w:p>
        </w:tc>
      </w:tr>
      <w:tr w:rsidR="003E1E32" w:rsidRPr="003E1E32" w:rsidTr="003E1E32">
        <w:tc>
          <w:tcPr>
            <w:tcW w:w="2336"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Majors &amp; RAT (15 spaces)</w:t>
            </w:r>
          </w:p>
        </w:tc>
        <w:tc>
          <w:tcPr>
            <w:tcW w:w="2336"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 xml:space="preserve">5 x RN </w:t>
            </w:r>
          </w:p>
          <w:p w:rsidR="003E1E32" w:rsidRPr="003E1E32" w:rsidRDefault="003E1E32" w:rsidP="003E1E32">
            <w:pPr>
              <w:rPr>
                <w:rFonts w:ascii="Calibri" w:hAnsi="Calibri"/>
                <w:sz w:val="22"/>
              </w:rPr>
            </w:pPr>
            <w:r w:rsidRPr="003E1E32">
              <w:rPr>
                <w:rFonts w:ascii="Calibri" w:hAnsi="Calibri"/>
                <w:sz w:val="22"/>
              </w:rPr>
              <w:t>3 x HCSW</w:t>
            </w:r>
          </w:p>
        </w:tc>
        <w:tc>
          <w:tcPr>
            <w:tcW w:w="2337"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Majors &amp; RAT (23 spaces)</w:t>
            </w:r>
          </w:p>
        </w:tc>
        <w:tc>
          <w:tcPr>
            <w:tcW w:w="2337"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6 x RN</w:t>
            </w:r>
          </w:p>
          <w:p w:rsidR="003E1E32" w:rsidRPr="003E1E32" w:rsidRDefault="003E1E32" w:rsidP="003E1E32">
            <w:pPr>
              <w:rPr>
                <w:rFonts w:ascii="Calibri" w:hAnsi="Calibri"/>
                <w:sz w:val="22"/>
              </w:rPr>
            </w:pPr>
            <w:r w:rsidRPr="003E1E32">
              <w:rPr>
                <w:rFonts w:ascii="Calibri" w:hAnsi="Calibri"/>
                <w:sz w:val="22"/>
              </w:rPr>
              <w:t>3 x HCSW</w:t>
            </w:r>
          </w:p>
        </w:tc>
      </w:tr>
      <w:tr w:rsidR="003E1E32" w:rsidRPr="003E1E32" w:rsidTr="003E1E32">
        <w:tc>
          <w:tcPr>
            <w:tcW w:w="2336" w:type="dxa"/>
            <w:tcBorders>
              <w:top w:val="single" w:sz="4" w:space="0" w:color="auto"/>
              <w:left w:val="single" w:sz="4" w:space="0" w:color="auto"/>
              <w:bottom w:val="single" w:sz="4" w:space="0" w:color="auto"/>
              <w:right w:val="single" w:sz="4" w:space="0" w:color="auto"/>
            </w:tcBorders>
          </w:tcPr>
          <w:p w:rsidR="003E1E32" w:rsidRPr="003E1E32" w:rsidRDefault="003E1E32" w:rsidP="003E1E32">
            <w:pPr>
              <w:rPr>
                <w:rFonts w:ascii="Calibri" w:hAnsi="Calibri"/>
                <w:sz w:val="22"/>
              </w:rPr>
            </w:pPr>
            <w:proofErr w:type="spellStart"/>
            <w:r w:rsidRPr="003E1E32">
              <w:rPr>
                <w:rFonts w:ascii="Calibri" w:hAnsi="Calibri"/>
                <w:sz w:val="22"/>
              </w:rPr>
              <w:t>Paeds</w:t>
            </w:r>
            <w:proofErr w:type="spellEnd"/>
            <w:r w:rsidRPr="003E1E32">
              <w:rPr>
                <w:rFonts w:ascii="Calibri" w:hAnsi="Calibri"/>
                <w:sz w:val="22"/>
              </w:rPr>
              <w:t xml:space="preserve"> (1 cubicle)</w:t>
            </w:r>
          </w:p>
          <w:p w:rsidR="003E1E32" w:rsidRPr="003E1E32" w:rsidRDefault="003E1E32" w:rsidP="003E1E32">
            <w:pPr>
              <w:rPr>
                <w:rFonts w:ascii="Calibri" w:hAnsi="Calibri"/>
                <w:sz w:val="22"/>
              </w:rPr>
            </w:pPr>
          </w:p>
        </w:tc>
        <w:tc>
          <w:tcPr>
            <w:tcW w:w="2336"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1 x RN</w:t>
            </w:r>
          </w:p>
          <w:p w:rsidR="003E1E32" w:rsidRPr="003E1E32" w:rsidRDefault="003E1E32" w:rsidP="003E1E32">
            <w:pPr>
              <w:rPr>
                <w:rFonts w:ascii="Calibri" w:hAnsi="Calibri"/>
                <w:sz w:val="22"/>
              </w:rPr>
            </w:pPr>
            <w:r w:rsidRPr="003E1E32">
              <w:rPr>
                <w:rFonts w:ascii="Calibri" w:hAnsi="Calibri"/>
                <w:sz w:val="22"/>
              </w:rPr>
              <w:t>1 x HCSW</w:t>
            </w:r>
          </w:p>
        </w:tc>
        <w:tc>
          <w:tcPr>
            <w:tcW w:w="2337"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proofErr w:type="spellStart"/>
            <w:r w:rsidRPr="003E1E32">
              <w:rPr>
                <w:rFonts w:ascii="Calibri" w:hAnsi="Calibri"/>
                <w:sz w:val="22"/>
              </w:rPr>
              <w:t>Paeds</w:t>
            </w:r>
            <w:proofErr w:type="spellEnd"/>
            <w:r w:rsidRPr="003E1E32">
              <w:rPr>
                <w:rFonts w:ascii="Calibri" w:hAnsi="Calibri"/>
                <w:sz w:val="22"/>
              </w:rPr>
              <w:t xml:space="preserve"> (4 cubicles)</w:t>
            </w:r>
          </w:p>
        </w:tc>
        <w:tc>
          <w:tcPr>
            <w:tcW w:w="2337"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2 x RN</w:t>
            </w:r>
          </w:p>
          <w:p w:rsidR="003E1E32" w:rsidRPr="003E1E32" w:rsidRDefault="003E1E32" w:rsidP="003E1E32">
            <w:pPr>
              <w:rPr>
                <w:rFonts w:ascii="Calibri" w:hAnsi="Calibri"/>
                <w:sz w:val="22"/>
              </w:rPr>
            </w:pPr>
            <w:r w:rsidRPr="003E1E32">
              <w:rPr>
                <w:rFonts w:ascii="Calibri" w:hAnsi="Calibri"/>
                <w:sz w:val="22"/>
              </w:rPr>
              <w:t>1 x HCSW</w:t>
            </w:r>
          </w:p>
        </w:tc>
      </w:tr>
      <w:tr w:rsidR="003E1E32" w:rsidRPr="003E1E32" w:rsidTr="003E1E32">
        <w:tc>
          <w:tcPr>
            <w:tcW w:w="2336" w:type="dxa"/>
            <w:tcBorders>
              <w:top w:val="single" w:sz="4" w:space="0" w:color="auto"/>
              <w:left w:val="single" w:sz="4" w:space="0" w:color="auto"/>
              <w:bottom w:val="single" w:sz="4" w:space="0" w:color="auto"/>
              <w:right w:val="single" w:sz="4" w:space="0" w:color="auto"/>
            </w:tcBorders>
          </w:tcPr>
          <w:p w:rsidR="003E1E32" w:rsidRPr="003E1E32" w:rsidRDefault="003E1E32" w:rsidP="003E1E32">
            <w:pPr>
              <w:rPr>
                <w:rFonts w:ascii="Calibri" w:hAnsi="Calibri"/>
                <w:sz w:val="22"/>
              </w:rPr>
            </w:pPr>
            <w:proofErr w:type="spellStart"/>
            <w:r w:rsidRPr="003E1E32">
              <w:rPr>
                <w:rFonts w:ascii="Calibri" w:hAnsi="Calibri"/>
                <w:sz w:val="22"/>
              </w:rPr>
              <w:t>Resus</w:t>
            </w:r>
            <w:proofErr w:type="spellEnd"/>
            <w:r w:rsidRPr="003E1E32">
              <w:rPr>
                <w:rFonts w:ascii="Calibri" w:hAnsi="Calibri"/>
                <w:sz w:val="22"/>
              </w:rPr>
              <w:t xml:space="preserve"> (6 spaces)</w:t>
            </w:r>
          </w:p>
          <w:p w:rsidR="003E1E32" w:rsidRPr="003E1E32" w:rsidRDefault="003E1E32" w:rsidP="003E1E32">
            <w:pPr>
              <w:rPr>
                <w:rFonts w:ascii="Calibri" w:hAnsi="Calibri"/>
                <w:sz w:val="22"/>
              </w:rPr>
            </w:pPr>
          </w:p>
        </w:tc>
        <w:tc>
          <w:tcPr>
            <w:tcW w:w="2336"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3 x RN</w:t>
            </w:r>
          </w:p>
          <w:p w:rsidR="003E1E32" w:rsidRPr="003E1E32" w:rsidRDefault="003E1E32" w:rsidP="003E1E32">
            <w:pPr>
              <w:rPr>
                <w:rFonts w:ascii="Calibri" w:hAnsi="Calibri"/>
                <w:sz w:val="22"/>
              </w:rPr>
            </w:pPr>
            <w:r w:rsidRPr="003E1E32">
              <w:rPr>
                <w:rFonts w:ascii="Calibri" w:hAnsi="Calibri"/>
                <w:sz w:val="22"/>
              </w:rPr>
              <w:t>1 x HCSW</w:t>
            </w:r>
          </w:p>
        </w:tc>
        <w:tc>
          <w:tcPr>
            <w:tcW w:w="2337"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proofErr w:type="spellStart"/>
            <w:r w:rsidRPr="003E1E32">
              <w:rPr>
                <w:rFonts w:ascii="Calibri" w:hAnsi="Calibri"/>
                <w:sz w:val="22"/>
              </w:rPr>
              <w:t>Resus</w:t>
            </w:r>
            <w:proofErr w:type="spellEnd"/>
            <w:r w:rsidRPr="003E1E32">
              <w:rPr>
                <w:rFonts w:ascii="Calibri" w:hAnsi="Calibri"/>
                <w:sz w:val="22"/>
              </w:rPr>
              <w:t xml:space="preserve"> (8 Spaces)</w:t>
            </w:r>
          </w:p>
        </w:tc>
        <w:tc>
          <w:tcPr>
            <w:tcW w:w="2337"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4 x RN</w:t>
            </w:r>
          </w:p>
          <w:p w:rsidR="003E1E32" w:rsidRPr="003E1E32" w:rsidRDefault="003E1E32" w:rsidP="003E1E32">
            <w:pPr>
              <w:rPr>
                <w:rFonts w:ascii="Calibri" w:hAnsi="Calibri"/>
                <w:sz w:val="22"/>
              </w:rPr>
            </w:pPr>
            <w:r w:rsidRPr="003E1E32">
              <w:rPr>
                <w:rFonts w:ascii="Calibri" w:hAnsi="Calibri"/>
                <w:sz w:val="22"/>
              </w:rPr>
              <w:t>2 x HCSW</w:t>
            </w:r>
          </w:p>
        </w:tc>
      </w:tr>
      <w:tr w:rsidR="003E1E32" w:rsidRPr="003E1E32" w:rsidTr="003E1E32">
        <w:tc>
          <w:tcPr>
            <w:tcW w:w="2336" w:type="dxa"/>
            <w:tcBorders>
              <w:top w:val="single" w:sz="4" w:space="0" w:color="auto"/>
              <w:left w:val="single" w:sz="4" w:space="0" w:color="auto"/>
              <w:bottom w:val="single" w:sz="4" w:space="0" w:color="auto"/>
              <w:right w:val="single" w:sz="4" w:space="0" w:color="auto"/>
            </w:tcBorders>
          </w:tcPr>
          <w:p w:rsidR="003E1E32" w:rsidRPr="003E1E32" w:rsidRDefault="003E1E32" w:rsidP="003E1E32">
            <w:pPr>
              <w:rPr>
                <w:rFonts w:ascii="Calibri" w:hAnsi="Calibri"/>
                <w:sz w:val="22"/>
              </w:rPr>
            </w:pPr>
            <w:r w:rsidRPr="003E1E32">
              <w:rPr>
                <w:rFonts w:ascii="Calibri" w:hAnsi="Calibri"/>
                <w:sz w:val="22"/>
              </w:rPr>
              <w:t>Triage 2 streams</w:t>
            </w:r>
          </w:p>
          <w:p w:rsidR="003E1E32" w:rsidRPr="003E1E32" w:rsidRDefault="003E1E32" w:rsidP="003E1E32">
            <w:pPr>
              <w:rPr>
                <w:rFonts w:ascii="Calibri" w:hAnsi="Calibri"/>
                <w:sz w:val="22"/>
              </w:rPr>
            </w:pPr>
          </w:p>
        </w:tc>
        <w:tc>
          <w:tcPr>
            <w:tcW w:w="2336"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 xml:space="preserve">2 x RN </w:t>
            </w:r>
          </w:p>
          <w:p w:rsidR="003E1E32" w:rsidRPr="003E1E32" w:rsidRDefault="003E1E32" w:rsidP="003E1E32">
            <w:pPr>
              <w:rPr>
                <w:rFonts w:ascii="Calibri" w:hAnsi="Calibri"/>
                <w:sz w:val="22"/>
              </w:rPr>
            </w:pPr>
            <w:r w:rsidRPr="003E1E32">
              <w:rPr>
                <w:rFonts w:ascii="Calibri" w:hAnsi="Calibri"/>
                <w:sz w:val="22"/>
              </w:rPr>
              <w:t>1 x HCSW</w:t>
            </w:r>
          </w:p>
        </w:tc>
        <w:tc>
          <w:tcPr>
            <w:tcW w:w="2337"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Triage 3 streams</w:t>
            </w:r>
          </w:p>
        </w:tc>
        <w:tc>
          <w:tcPr>
            <w:tcW w:w="2337"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3 x RN</w:t>
            </w:r>
          </w:p>
          <w:p w:rsidR="003E1E32" w:rsidRPr="003E1E32" w:rsidRDefault="003E1E32" w:rsidP="003E1E32">
            <w:pPr>
              <w:rPr>
                <w:rFonts w:ascii="Calibri" w:hAnsi="Calibri"/>
                <w:sz w:val="22"/>
              </w:rPr>
            </w:pPr>
            <w:r w:rsidRPr="003E1E32">
              <w:rPr>
                <w:rFonts w:ascii="Calibri" w:hAnsi="Calibri"/>
                <w:sz w:val="22"/>
              </w:rPr>
              <w:t>2 x HCSW</w:t>
            </w:r>
          </w:p>
        </w:tc>
      </w:tr>
      <w:tr w:rsidR="003E1E32" w:rsidRPr="003E1E32" w:rsidTr="003E1E32">
        <w:tc>
          <w:tcPr>
            <w:tcW w:w="2336"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TOTAL</w:t>
            </w:r>
          </w:p>
        </w:tc>
        <w:tc>
          <w:tcPr>
            <w:tcW w:w="2336"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15 x RN</w:t>
            </w:r>
          </w:p>
          <w:p w:rsidR="003E1E32" w:rsidRPr="003E1E32" w:rsidRDefault="003E1E32" w:rsidP="003E1E32">
            <w:pPr>
              <w:rPr>
                <w:rFonts w:ascii="Calibri" w:hAnsi="Calibri"/>
                <w:sz w:val="22"/>
              </w:rPr>
            </w:pPr>
            <w:r w:rsidRPr="003E1E32">
              <w:rPr>
                <w:rFonts w:ascii="Calibri" w:hAnsi="Calibri"/>
                <w:sz w:val="22"/>
              </w:rPr>
              <w:t>7 x HCSW</w:t>
            </w:r>
          </w:p>
        </w:tc>
        <w:tc>
          <w:tcPr>
            <w:tcW w:w="2337" w:type="dxa"/>
            <w:tcBorders>
              <w:top w:val="single" w:sz="4" w:space="0" w:color="auto"/>
              <w:left w:val="single" w:sz="4" w:space="0" w:color="auto"/>
              <w:bottom w:val="single" w:sz="4" w:space="0" w:color="auto"/>
              <w:right w:val="single" w:sz="4" w:space="0" w:color="auto"/>
            </w:tcBorders>
          </w:tcPr>
          <w:p w:rsidR="003E1E32" w:rsidRPr="003E1E32" w:rsidRDefault="003E1E32" w:rsidP="003E1E32">
            <w:pPr>
              <w:rPr>
                <w:rFonts w:ascii="Calibri" w:hAnsi="Calibri"/>
                <w:sz w:val="22"/>
              </w:rPr>
            </w:pPr>
          </w:p>
        </w:tc>
        <w:tc>
          <w:tcPr>
            <w:tcW w:w="2337"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20 x RN</w:t>
            </w:r>
          </w:p>
          <w:p w:rsidR="003E1E32" w:rsidRPr="003E1E32" w:rsidRDefault="003E1E32" w:rsidP="003E1E32">
            <w:pPr>
              <w:rPr>
                <w:rFonts w:ascii="Calibri" w:hAnsi="Calibri"/>
                <w:sz w:val="22"/>
              </w:rPr>
            </w:pPr>
            <w:r w:rsidRPr="003E1E32">
              <w:rPr>
                <w:rFonts w:ascii="Calibri" w:hAnsi="Calibri"/>
                <w:sz w:val="22"/>
              </w:rPr>
              <w:t>9 x HCSW</w:t>
            </w:r>
          </w:p>
        </w:tc>
      </w:tr>
    </w:tbl>
    <w:p w:rsidR="003E1E32" w:rsidRPr="003E1E32" w:rsidRDefault="003E1E32" w:rsidP="003E1E32">
      <w:pPr>
        <w:spacing w:after="160" w:line="256" w:lineRule="auto"/>
        <w:rPr>
          <w:rFonts w:ascii="Calibri" w:eastAsia="Calibri" w:hAnsi="Calibri" w:cs="Times New Roman"/>
          <w:sz w:val="22"/>
        </w:rPr>
      </w:pPr>
    </w:p>
    <w:p w:rsidR="003E1E32" w:rsidRPr="003E1E32" w:rsidRDefault="003E1E32" w:rsidP="003E1E32">
      <w:pPr>
        <w:spacing w:after="160" w:line="256" w:lineRule="auto"/>
        <w:rPr>
          <w:rFonts w:ascii="Calibri" w:eastAsia="Calibri" w:hAnsi="Calibri" w:cs="Times New Roman"/>
          <w:sz w:val="22"/>
        </w:rPr>
      </w:pPr>
    </w:p>
    <w:p w:rsidR="003E1E32" w:rsidRPr="003E1E32" w:rsidRDefault="003E1E32" w:rsidP="003E1E32">
      <w:pPr>
        <w:spacing w:after="160" w:line="256" w:lineRule="auto"/>
        <w:rPr>
          <w:rFonts w:ascii="Calibri" w:eastAsia="Calibri" w:hAnsi="Calibri" w:cs="Times New Roman"/>
          <w:sz w:val="22"/>
        </w:rPr>
      </w:pPr>
    </w:p>
    <w:p w:rsidR="003E1E32" w:rsidRPr="003E1E32" w:rsidRDefault="003E1E32" w:rsidP="003E1E32">
      <w:pPr>
        <w:spacing w:after="160" w:line="256" w:lineRule="auto"/>
        <w:rPr>
          <w:rFonts w:ascii="Calibri" w:eastAsia="Calibri" w:hAnsi="Calibri" w:cs="Times New Roman"/>
          <w:sz w:val="22"/>
        </w:rPr>
      </w:pPr>
    </w:p>
    <w:p w:rsidR="003E1E32" w:rsidRPr="003E1E32" w:rsidRDefault="003E1E32" w:rsidP="003E1E32">
      <w:pPr>
        <w:spacing w:after="160" w:line="256" w:lineRule="auto"/>
        <w:rPr>
          <w:rFonts w:ascii="Calibri" w:eastAsia="Calibri" w:hAnsi="Calibri" w:cs="Times New Roman"/>
          <w:sz w:val="22"/>
        </w:rPr>
      </w:pPr>
    </w:p>
    <w:p w:rsidR="003E1E32" w:rsidRPr="003E1E32" w:rsidRDefault="003E1E32" w:rsidP="003E1E32">
      <w:pPr>
        <w:spacing w:after="160" w:line="256" w:lineRule="auto"/>
        <w:rPr>
          <w:rFonts w:ascii="Calibri" w:eastAsia="Calibri" w:hAnsi="Calibri" w:cs="Times New Roman"/>
          <w:sz w:val="22"/>
        </w:rPr>
      </w:pPr>
    </w:p>
    <w:p w:rsidR="003E1E32" w:rsidRPr="003E1E32" w:rsidRDefault="003E1E32" w:rsidP="003E1E32">
      <w:pPr>
        <w:spacing w:after="160" w:line="256" w:lineRule="auto"/>
        <w:rPr>
          <w:rFonts w:ascii="Calibri" w:eastAsia="Calibri" w:hAnsi="Calibri" w:cs="Times New Roman"/>
          <w:sz w:val="22"/>
        </w:rPr>
      </w:pPr>
      <w:bookmarkStart w:id="221" w:name="_Toc96712658"/>
      <w:r w:rsidRPr="003E1E32">
        <w:rPr>
          <w:rFonts w:ascii="Calibri" w:eastAsia="Calibri" w:hAnsi="Calibri" w:cs="Times New Roman"/>
          <w:sz w:val="22"/>
        </w:rPr>
        <w:t>Advanced Clinical Practitioners</w:t>
      </w:r>
      <w:bookmarkEnd w:id="221"/>
      <w:r w:rsidRPr="003E1E32">
        <w:rPr>
          <w:rFonts w:ascii="Calibri" w:eastAsia="Calibri" w:hAnsi="Calibri" w:cs="Times New Roman"/>
          <w:sz w:val="22"/>
        </w:rPr>
        <w:t xml:space="preserve">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Advanced Clinical Practitioners (ACP) already work within the ED.  As experienced registered healthcare practitioners, their practice is characterised by a high level of autonomy and complex decision-making, underpinned by a </w:t>
      </w:r>
      <w:proofErr w:type="spellStart"/>
      <w:r w:rsidRPr="003E1E32">
        <w:rPr>
          <w:rFonts w:ascii="Calibri" w:eastAsia="Calibri" w:hAnsi="Calibri" w:cs="Times New Roman"/>
          <w:sz w:val="22"/>
        </w:rPr>
        <w:t>Masters</w:t>
      </w:r>
      <w:proofErr w:type="spellEnd"/>
      <w:r w:rsidRPr="003E1E32">
        <w:rPr>
          <w:rFonts w:ascii="Calibri" w:eastAsia="Calibri" w:hAnsi="Calibri" w:cs="Times New Roman"/>
          <w:sz w:val="22"/>
        </w:rPr>
        <w:t xml:space="preserve"> degree that encompasses clinical practice, management and leadership, education and research.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The current establishment for ACPs at Pilgrim is 10 WTE.  This establishment covers both ED and SDEC.  To provide sustained 2 x ACPs in ED and 2 x ACP in SDEC at Pilgrim this establishment will need to increase to 14 WTE.  This uplift accounts for an 80/20 split between clinical and </w:t>
      </w:r>
      <w:proofErr w:type="spellStart"/>
      <w:r w:rsidRPr="003E1E32">
        <w:rPr>
          <w:rFonts w:ascii="Calibri" w:eastAsia="Calibri" w:hAnsi="Calibri" w:cs="Times New Roman"/>
          <w:sz w:val="22"/>
        </w:rPr>
        <w:t>non clinical</w:t>
      </w:r>
      <w:proofErr w:type="spellEnd"/>
      <w:r w:rsidRPr="003E1E32">
        <w:rPr>
          <w:rFonts w:ascii="Calibri" w:eastAsia="Calibri" w:hAnsi="Calibri" w:cs="Times New Roman"/>
          <w:sz w:val="22"/>
        </w:rPr>
        <w:t xml:space="preserve"> activity as per RCEM guidance.</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b/>
          <w:sz w:val="22"/>
        </w:rPr>
        <w:t xml:space="preserve">Table 5 </w:t>
      </w:r>
      <w:r w:rsidRPr="003E1E32">
        <w:rPr>
          <w:rFonts w:ascii="Calibri" w:eastAsia="Calibri" w:hAnsi="Calibri" w:cs="Times New Roman"/>
          <w:sz w:val="22"/>
        </w:rPr>
        <w:t xml:space="preserve">– Proposed ACP Establishment </w:t>
      </w:r>
    </w:p>
    <w:tbl>
      <w:tblPr>
        <w:tblStyle w:val="TableGrid2"/>
        <w:tblW w:w="0" w:type="auto"/>
        <w:tblInd w:w="0" w:type="dxa"/>
        <w:tblLook w:val="04A0" w:firstRow="1" w:lastRow="0" w:firstColumn="1" w:lastColumn="0" w:noHBand="0" w:noVBand="1"/>
      </w:tblPr>
      <w:tblGrid>
        <w:gridCol w:w="3002"/>
        <w:gridCol w:w="3030"/>
        <w:gridCol w:w="2984"/>
      </w:tblGrid>
      <w:tr w:rsidR="003E1E32" w:rsidRPr="003E1E32" w:rsidTr="003E1E32">
        <w:tc>
          <w:tcPr>
            <w:tcW w:w="3115" w:type="dxa"/>
            <w:tcBorders>
              <w:top w:val="single" w:sz="4" w:space="0" w:color="auto"/>
              <w:left w:val="single" w:sz="4" w:space="0" w:color="auto"/>
              <w:bottom w:val="single" w:sz="4" w:space="0" w:color="auto"/>
              <w:right w:val="single" w:sz="4" w:space="0" w:color="auto"/>
            </w:tcBorders>
            <w:shd w:val="clear" w:color="auto" w:fill="005EB8"/>
          </w:tcPr>
          <w:p w:rsidR="003E1E32" w:rsidRPr="003E1E32" w:rsidRDefault="003E1E32" w:rsidP="003E1E32">
            <w:pPr>
              <w:rPr>
                <w:rFonts w:ascii="Calibri" w:hAnsi="Calibri"/>
                <w:color w:val="FFFFFF"/>
                <w:sz w:val="22"/>
              </w:rPr>
            </w:pPr>
          </w:p>
        </w:tc>
        <w:tc>
          <w:tcPr>
            <w:tcW w:w="3115" w:type="dxa"/>
            <w:tcBorders>
              <w:top w:val="single" w:sz="4" w:space="0" w:color="auto"/>
              <w:left w:val="single" w:sz="4" w:space="0" w:color="auto"/>
              <w:bottom w:val="single" w:sz="4" w:space="0" w:color="auto"/>
              <w:right w:val="single" w:sz="4" w:space="0" w:color="auto"/>
            </w:tcBorders>
            <w:shd w:val="clear" w:color="auto" w:fill="005EB8"/>
          </w:tcPr>
          <w:p w:rsidR="003E1E32" w:rsidRPr="003E1E32" w:rsidRDefault="003E1E32" w:rsidP="003E1E32">
            <w:pPr>
              <w:rPr>
                <w:rFonts w:ascii="Calibri" w:hAnsi="Calibri"/>
                <w:color w:val="FFFFFF"/>
                <w:sz w:val="22"/>
              </w:rPr>
            </w:pPr>
          </w:p>
        </w:tc>
        <w:tc>
          <w:tcPr>
            <w:tcW w:w="3116" w:type="dxa"/>
            <w:tcBorders>
              <w:top w:val="single" w:sz="4" w:space="0" w:color="auto"/>
              <w:left w:val="single" w:sz="4" w:space="0" w:color="auto"/>
              <w:bottom w:val="single" w:sz="4" w:space="0" w:color="auto"/>
              <w:right w:val="single" w:sz="4" w:space="0" w:color="auto"/>
            </w:tcBorders>
            <w:shd w:val="clear" w:color="auto" w:fill="005EB8"/>
          </w:tcPr>
          <w:p w:rsidR="003E1E32" w:rsidRPr="003E1E32" w:rsidRDefault="003E1E32" w:rsidP="003E1E32">
            <w:pPr>
              <w:rPr>
                <w:rFonts w:ascii="Calibri" w:hAnsi="Calibri"/>
                <w:color w:val="FFFFFF"/>
                <w:sz w:val="22"/>
              </w:rPr>
            </w:pPr>
          </w:p>
        </w:tc>
      </w:tr>
      <w:tr w:rsidR="003E1E32" w:rsidRPr="003E1E32" w:rsidTr="003E1E32">
        <w:tc>
          <w:tcPr>
            <w:tcW w:w="3115"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08:00 – 20:30</w:t>
            </w:r>
          </w:p>
        </w:tc>
        <w:tc>
          <w:tcPr>
            <w:tcW w:w="3115"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 xml:space="preserve">1 </w:t>
            </w:r>
          </w:p>
        </w:tc>
        <w:tc>
          <w:tcPr>
            <w:tcW w:w="3116"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1</w:t>
            </w:r>
          </w:p>
        </w:tc>
      </w:tr>
      <w:tr w:rsidR="003E1E32" w:rsidRPr="003E1E32" w:rsidTr="003E1E32">
        <w:tc>
          <w:tcPr>
            <w:tcW w:w="3115"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09:30 – 22:00</w:t>
            </w:r>
          </w:p>
        </w:tc>
        <w:tc>
          <w:tcPr>
            <w:tcW w:w="3115"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 xml:space="preserve">Intermittent cover due to workforce </w:t>
            </w:r>
          </w:p>
        </w:tc>
        <w:tc>
          <w:tcPr>
            <w:tcW w:w="3116" w:type="dxa"/>
            <w:tcBorders>
              <w:top w:val="single" w:sz="4" w:space="0" w:color="auto"/>
              <w:left w:val="single" w:sz="4" w:space="0" w:color="auto"/>
              <w:bottom w:val="single" w:sz="4" w:space="0" w:color="auto"/>
              <w:right w:val="single" w:sz="4" w:space="0" w:color="auto"/>
            </w:tcBorders>
            <w:hideMark/>
          </w:tcPr>
          <w:p w:rsidR="003E1E32" w:rsidRPr="003E1E32" w:rsidRDefault="003E1E32" w:rsidP="003E1E32">
            <w:pPr>
              <w:rPr>
                <w:rFonts w:ascii="Calibri" w:hAnsi="Calibri"/>
                <w:sz w:val="22"/>
              </w:rPr>
            </w:pPr>
            <w:r w:rsidRPr="003E1E32">
              <w:rPr>
                <w:rFonts w:ascii="Calibri" w:hAnsi="Calibri"/>
                <w:sz w:val="22"/>
              </w:rPr>
              <w:t>1</w:t>
            </w:r>
          </w:p>
        </w:tc>
      </w:tr>
    </w:tbl>
    <w:p w:rsidR="003E1E32" w:rsidRPr="003E1E32" w:rsidRDefault="003E1E32" w:rsidP="003E1E32">
      <w:pPr>
        <w:spacing w:after="160" w:line="256" w:lineRule="auto"/>
        <w:rPr>
          <w:rFonts w:ascii="Calibri" w:eastAsia="Calibri" w:hAnsi="Calibri" w:cs="Times New Roman"/>
          <w:sz w:val="22"/>
        </w:rPr>
      </w:pPr>
      <w:bookmarkStart w:id="222" w:name="_Toc96712659"/>
      <w:r w:rsidRPr="003E1E32">
        <w:rPr>
          <w:rFonts w:ascii="Calibri" w:eastAsia="Calibri" w:hAnsi="Calibri" w:cs="Times New Roman"/>
          <w:sz w:val="22"/>
        </w:rPr>
        <w:t>Supporting wider professional groups in the ED</w:t>
      </w:r>
      <w:bookmarkEnd w:id="222"/>
      <w:r w:rsidRPr="003E1E32">
        <w:rPr>
          <w:rFonts w:ascii="Calibri" w:eastAsia="Calibri" w:hAnsi="Calibri" w:cs="Times New Roman"/>
          <w:sz w:val="22"/>
        </w:rPr>
        <w:t xml:space="preserve">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The vision to develop a stable, well supported and resilient workforce in EDs will enable improved and sustainable patient care, will alleviate pressure on the existing workforce, and will improve finances through reducing staff turnover and use of locum and agency staff on the short, medium and long-term.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The operationalisation of this plan will include the development on a multi professional workforce.  The benefits of including multi professional working has been well documented and recognised as adding breadth and depth of cover in the </w:t>
      </w:r>
      <w:proofErr w:type="spellStart"/>
      <w:r w:rsidRPr="003E1E32">
        <w:rPr>
          <w:rFonts w:ascii="Calibri" w:eastAsia="Calibri" w:hAnsi="Calibri" w:cs="Times New Roman"/>
          <w:sz w:val="22"/>
        </w:rPr>
        <w:t>EDs.</w:t>
      </w:r>
      <w:proofErr w:type="spellEnd"/>
      <w:r w:rsidRPr="003E1E32">
        <w:rPr>
          <w:rFonts w:ascii="Calibri" w:eastAsia="Calibri" w:hAnsi="Calibri" w:cs="Times New Roman"/>
          <w:sz w:val="22"/>
        </w:rPr>
        <w:t xml:space="preserve">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Consideration of wider professional groups will include but are not limited to:</w:t>
      </w:r>
    </w:p>
    <w:p w:rsidR="003E1E32" w:rsidRPr="003E1E32" w:rsidRDefault="003E1E32" w:rsidP="003E1E32">
      <w:pPr>
        <w:spacing w:after="160" w:line="256" w:lineRule="auto"/>
        <w:rPr>
          <w:rFonts w:ascii="Calibri" w:eastAsia="Calibri" w:hAnsi="Calibri" w:cs="Times New Roman"/>
          <w:sz w:val="22"/>
        </w:rPr>
      </w:pPr>
      <w:bookmarkStart w:id="223" w:name="_Toc96712660"/>
      <w:r w:rsidRPr="003E1E32">
        <w:rPr>
          <w:rFonts w:ascii="Calibri" w:eastAsia="Calibri" w:hAnsi="Calibri" w:cs="Times New Roman"/>
          <w:sz w:val="22"/>
        </w:rPr>
        <w:t>8.1   Physician Associates</w:t>
      </w:r>
      <w:bookmarkEnd w:id="223"/>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The Physician Associate (PA) is a healthcare processional who, while not a doctor, works to the medical model, with the attitudes, skills and knowledge base to delivery holistic care.  Currently a high number of PA and PA students have a bioscience qualification, and their broad skills mix means they can practice across a range of medical specialties.  </w:t>
      </w:r>
    </w:p>
    <w:p w:rsidR="003E1E32" w:rsidRPr="003E1E32" w:rsidRDefault="003E1E32" w:rsidP="003E1E32">
      <w:pPr>
        <w:spacing w:after="160" w:line="256" w:lineRule="auto"/>
        <w:rPr>
          <w:rFonts w:ascii="Calibri" w:eastAsia="Calibri" w:hAnsi="Calibri" w:cs="Times New Roman"/>
          <w:sz w:val="22"/>
        </w:rPr>
      </w:pPr>
      <w:bookmarkStart w:id="224" w:name="_Toc96712661"/>
      <w:r w:rsidRPr="003E1E32">
        <w:rPr>
          <w:rFonts w:ascii="Calibri" w:eastAsia="Calibri" w:hAnsi="Calibri" w:cs="Times New Roman"/>
          <w:sz w:val="22"/>
        </w:rPr>
        <w:t>Pharmacist Clinicians</w:t>
      </w:r>
      <w:bookmarkEnd w:id="224"/>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Pharmacist clinicians have advanced clinical health assessment skills and can support the ED with:</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Undertaking medicines-focussed duties such as pre-discharge medicines optimisation, medicines reconciliation and prescribing</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Optimising the use of medicines on admission to emergency and acute care</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lastRenderedPageBreak/>
        <w:t>Supporting medicine reconciliation pre-discharge of acutely ill patients</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These duties are often undertaken by junior medical staff who face significant demands on their time.  Clinically trained pharmacist prescribers can work alongside junior doctors to take on some of these duties to free up doctors time to focus on more complex clinical work.  </w:t>
      </w:r>
    </w:p>
    <w:p w:rsidR="003E1E32" w:rsidRPr="003E1E32" w:rsidRDefault="003E1E32" w:rsidP="003E1E32">
      <w:pPr>
        <w:spacing w:after="160" w:line="256" w:lineRule="auto"/>
        <w:rPr>
          <w:rFonts w:ascii="Calibri" w:eastAsia="Calibri" w:hAnsi="Calibri" w:cs="Times New Roman"/>
          <w:sz w:val="22"/>
        </w:rPr>
      </w:pPr>
      <w:bookmarkStart w:id="225" w:name="_Toc96712662"/>
      <w:r w:rsidRPr="003E1E32">
        <w:rPr>
          <w:rFonts w:ascii="Calibri" w:eastAsia="Calibri" w:hAnsi="Calibri" w:cs="Times New Roman"/>
          <w:sz w:val="22"/>
        </w:rPr>
        <w:t>Recruitment Strategy</w:t>
      </w:r>
      <w:bookmarkEnd w:id="225"/>
      <w:r w:rsidRPr="003E1E32">
        <w:rPr>
          <w:rFonts w:ascii="Calibri" w:eastAsia="Calibri" w:hAnsi="Calibri" w:cs="Times New Roman"/>
          <w:sz w:val="22"/>
        </w:rPr>
        <w:t xml:space="preserve">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The recruitment of qualified and skilled staff to ensure the delivery of the best possible care continues to be a priority not just for the ED but the Trust as a whole.  Whilst recruitment remains challenging, progress has been made within Urgent and Emergency Care.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In February 2020 the Trust agreed to support a significant uplift in medical staff for the EDs at both Lincoln County Hospital and The Pilgrim Hospital.  Since the increase in the Establishment, a targeted recruitment campaign has been undertaken and currently the department has no medical vacancies against establishment.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The Urgent and Emergency Care Clinical Business Unit (CBU) is committed to building on successful recruitment initiatives to support the establishment by:</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Developing CBU recruitment plans as part of the wider workforce planning process</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Support the recruitment and retention of new roles such as Physicians Associates / Pharmacist Clinicians</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Continue to focus and develop great employee experiences throughout the recruitment, on-boarding and induction process</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Provide staff with the right opportunities to develop and build careers within their specialty of choice ensuring staff feel valued in their role </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Continue to support our in house CESR training and rotation programme</w:t>
      </w:r>
    </w:p>
    <w:p w:rsidR="003E1E32" w:rsidRPr="003E1E32" w:rsidRDefault="003E1E32" w:rsidP="003E1E32">
      <w:pPr>
        <w:spacing w:after="160" w:line="256" w:lineRule="auto"/>
        <w:rPr>
          <w:rFonts w:ascii="Calibri" w:eastAsia="Calibri" w:hAnsi="Calibri" w:cs="Times New Roman"/>
          <w:sz w:val="22"/>
        </w:rPr>
      </w:pPr>
      <w:r w:rsidRPr="003E1E32">
        <w:rPr>
          <w:rFonts w:ascii="Calibri" w:eastAsia="Calibri" w:hAnsi="Calibri" w:cs="Times New Roman"/>
          <w:sz w:val="22"/>
        </w:rPr>
        <w:t xml:space="preserve">The strategic framework for 2020-2025 provides the future direction for the </w:t>
      </w:r>
      <w:proofErr w:type="spellStart"/>
      <w:r w:rsidRPr="003E1E32">
        <w:rPr>
          <w:rFonts w:ascii="Calibri" w:eastAsia="Calibri" w:hAnsi="Calibri" w:cs="Times New Roman"/>
          <w:sz w:val="22"/>
        </w:rPr>
        <w:t>organistaion</w:t>
      </w:r>
      <w:proofErr w:type="spellEnd"/>
      <w:r w:rsidRPr="003E1E32">
        <w:rPr>
          <w:rFonts w:ascii="Calibri" w:eastAsia="Calibri" w:hAnsi="Calibri" w:cs="Times New Roman"/>
          <w:sz w:val="22"/>
        </w:rPr>
        <w:t xml:space="preserve">, firmly recognising our people as one of the four strategic objectives.  Providing a modern, progressive workforce will deliver well led services and support our staff to feel valued, motivated and proud to work in ULHT. </w:t>
      </w:r>
    </w:p>
    <w:p w:rsidR="003E1E32" w:rsidRDefault="003E1E32">
      <w:pPr>
        <w:spacing w:after="200" w:line="276" w:lineRule="auto"/>
        <w:rPr>
          <w:lang w:eastAsia="en-GB"/>
        </w:rPr>
      </w:pPr>
      <w:r>
        <w:rPr>
          <w:lang w:eastAsia="en-GB"/>
        </w:rPr>
        <w:br w:type="page"/>
      </w:r>
    </w:p>
    <w:p w:rsidR="00701552" w:rsidRDefault="003E1E32" w:rsidP="003E1E32">
      <w:pPr>
        <w:pStyle w:val="Heading1"/>
        <w:rPr>
          <w:lang w:eastAsia="en-GB"/>
        </w:rPr>
      </w:pPr>
      <w:bookmarkStart w:id="226" w:name="_Toc105665243"/>
      <w:r>
        <w:rPr>
          <w:lang w:eastAsia="en-GB"/>
        </w:rPr>
        <w:lastRenderedPageBreak/>
        <w:t>Appendix N:  SOP for Management of Patients in ED</w:t>
      </w:r>
      <w:bookmarkEnd w:id="226"/>
    </w:p>
    <w:p w:rsidR="009E4C9E" w:rsidRDefault="009E4C9E" w:rsidP="009E4C9E">
      <w:pPr>
        <w:rPr>
          <w:lang w:eastAsia="en-GB"/>
        </w:rPr>
      </w:pPr>
    </w:p>
    <w:p w:rsidR="009E4C9E" w:rsidRPr="009E4C9E" w:rsidRDefault="009E4C9E" w:rsidP="009E4C9E">
      <w:pPr>
        <w:rPr>
          <w:lang w:eastAsia="en-GB"/>
        </w:rPr>
      </w:pPr>
      <w:r>
        <w:rPr>
          <w:lang w:eastAsia="en-GB"/>
        </w:rPr>
        <w:t>This document contains several embedded documents that have been removed, available on request.</w:t>
      </w:r>
    </w:p>
    <w:p w:rsidR="003E1E32" w:rsidRDefault="003E1E32" w:rsidP="003E1E32">
      <w:pPr>
        <w:rPr>
          <w:lang w:eastAsia="en-GB"/>
        </w:rPr>
      </w:pPr>
    </w:p>
    <w:p w:rsidR="003E1E32" w:rsidRDefault="003E1E32" w:rsidP="003E1E32">
      <w:pPr>
        <w:jc w:val="center"/>
        <w:rPr>
          <w:rFonts w:asciiTheme="minorHAnsi" w:hAnsiTheme="minorHAnsi"/>
          <w:b/>
          <w:sz w:val="56"/>
          <w:szCs w:val="56"/>
        </w:rPr>
      </w:pPr>
      <w:r>
        <w:rPr>
          <w:b/>
          <w:sz w:val="56"/>
          <w:szCs w:val="56"/>
        </w:rPr>
        <w:t>Standard Operating Procedure for the Management of Patients within the Emergency Department</w:t>
      </w:r>
    </w:p>
    <w:p w:rsidR="003E1E32" w:rsidRDefault="003E1E32" w:rsidP="003E1E32">
      <w:pPr>
        <w:rPr>
          <w:szCs w:val="24"/>
        </w:rPr>
      </w:pPr>
    </w:p>
    <w:p w:rsidR="003E1E32" w:rsidRDefault="003E1E32" w:rsidP="003E1E32"/>
    <w:p w:rsidR="003E1E32" w:rsidRDefault="003E1E32" w:rsidP="003E1E32">
      <w:pPr>
        <w:rPr>
          <w:b/>
        </w:rPr>
      </w:pPr>
      <w:r>
        <w:rPr>
          <w:b/>
        </w:rPr>
        <w:t>Introduction</w:t>
      </w:r>
    </w:p>
    <w:p w:rsidR="003E1E32" w:rsidRDefault="003E1E32" w:rsidP="003E1E32"/>
    <w:p w:rsidR="003E1E32" w:rsidRDefault="003E1E32" w:rsidP="003E1E32">
      <w:r>
        <w:t xml:space="preserve">This standard operating procedure (SOP) has been developed to ensure safe, equitable and timely access for patients presenting at Pilgrim Hospital Emergency Department (ED) and beyond. This SOP outlines the process used by ULHT and partner organisation staff to complete the initial assessments of ED patients and how they should progress through the department. It has been developed to reflect the improved processes and protocols following Royal College of Emergency Care guidance with input from Emergency care specialists at </w:t>
      </w:r>
      <w:proofErr w:type="spellStart"/>
      <w:r>
        <w:t>NHSi</w:t>
      </w:r>
      <w:proofErr w:type="spellEnd"/>
      <w:r>
        <w:t xml:space="preserve">. (Ref: </w:t>
      </w:r>
      <w:hyperlink r:id="rId55" w:history="1">
        <w:r>
          <w:rPr>
            <w:rStyle w:val="Hyperlink"/>
          </w:rPr>
          <w:t>http://www.rcem.ac.uk/RCEM/Quality_Policy/Clinical_Standards_Guidance/RCEM_Guidance/RCEM/Quality-Policy/Clinical_Standards_Guidance/RCEM_Guidance.aspx</w:t>
        </w:r>
      </w:hyperlink>
      <w:r>
        <w:t xml:space="preserve"> )</w:t>
      </w:r>
    </w:p>
    <w:p w:rsidR="003E1E32" w:rsidRDefault="003E1E32" w:rsidP="003E1E32"/>
    <w:p w:rsidR="003E1E32" w:rsidRDefault="003E1E32" w:rsidP="003E1E32">
      <w:r>
        <w:t xml:space="preserve">This standard operating procedure is based on the National Standards for non-elective admissions, which are in line with the Royal College of Emergency Medicine (RCEM) recommendations, Guidelines and Urgent Care standards.  It formalises the process of directing the patients to appropriate pathways as soon as they arrive, either by themselves or by ambulance, so that they can be assessed and managed by the appropriate people, with the appropriate skills.   </w:t>
      </w:r>
    </w:p>
    <w:p w:rsidR="003E1E32" w:rsidRDefault="003E1E32" w:rsidP="003E1E32"/>
    <w:p w:rsidR="003E1E32" w:rsidRDefault="003E1E32" w:rsidP="003E1E32">
      <w:pPr>
        <w:rPr>
          <w:b/>
        </w:rPr>
      </w:pPr>
      <w:r>
        <w:rPr>
          <w:b/>
        </w:rPr>
        <w:t xml:space="preserve">Initial Assessment </w:t>
      </w:r>
    </w:p>
    <w:p w:rsidR="003E1E32" w:rsidRDefault="003E1E32" w:rsidP="003E1E32"/>
    <w:p w:rsidR="003E1E32" w:rsidRDefault="003E1E32" w:rsidP="003E1E32">
      <w:r>
        <w:t>In-line with RCEM Guidance the three main objectives of clinical assessment are:</w:t>
      </w:r>
    </w:p>
    <w:p w:rsidR="003E1E32" w:rsidRDefault="003E1E32" w:rsidP="003E1E32">
      <w:pPr>
        <w:pStyle w:val="ListParagraph"/>
        <w:numPr>
          <w:ilvl w:val="0"/>
          <w:numId w:val="52"/>
        </w:numPr>
      </w:pPr>
      <w:r>
        <w:t>Improving Safety.</w:t>
      </w:r>
    </w:p>
    <w:p w:rsidR="003E1E32" w:rsidRDefault="003E1E32" w:rsidP="003E1E32">
      <w:pPr>
        <w:pStyle w:val="ListParagraph"/>
        <w:numPr>
          <w:ilvl w:val="0"/>
          <w:numId w:val="52"/>
        </w:numPr>
      </w:pPr>
      <w:r>
        <w:t xml:space="preserve">Identifying acuity to ensure that the most time-critical patients are treated by the right service within appropriate times frames and that appropriate prioritisation occurs for the remainder. </w:t>
      </w:r>
    </w:p>
    <w:p w:rsidR="003E1E32" w:rsidRDefault="003E1E32" w:rsidP="003E1E32">
      <w:pPr>
        <w:pStyle w:val="ListParagraph"/>
        <w:numPr>
          <w:ilvl w:val="0"/>
          <w:numId w:val="52"/>
        </w:numPr>
      </w:pPr>
      <w:r>
        <w:t xml:space="preserve">Improving efficiency in the system to ensure patients do not wait unnecessarily. </w:t>
      </w:r>
    </w:p>
    <w:p w:rsidR="003E1E32" w:rsidRDefault="003E1E32" w:rsidP="003E1E32">
      <w:pPr>
        <w:rPr>
          <w:noProof/>
          <w:lang w:eastAsia="en-GB"/>
        </w:rPr>
      </w:pPr>
    </w:p>
    <w:p w:rsidR="003E1E32" w:rsidRDefault="003E1E32" w:rsidP="003E1E32">
      <w:pPr>
        <w:rPr>
          <w:b/>
          <w:noProof/>
          <w:lang w:eastAsia="en-GB"/>
        </w:rPr>
      </w:pPr>
      <w:r>
        <w:rPr>
          <w:b/>
          <w:noProof/>
          <w:lang w:eastAsia="en-GB"/>
        </w:rPr>
        <w:t>Key Principles</w:t>
      </w:r>
    </w:p>
    <w:p w:rsidR="003E1E32" w:rsidRDefault="003E1E32" w:rsidP="003E1E32">
      <w:pPr>
        <w:rPr>
          <w:b/>
          <w:noProof/>
          <w:lang w:eastAsia="en-GB"/>
        </w:rPr>
      </w:pPr>
    </w:p>
    <w:p w:rsidR="003E1E32" w:rsidRDefault="003E1E32" w:rsidP="003E1E32">
      <w:pPr>
        <w:pStyle w:val="ListParagraph"/>
        <w:numPr>
          <w:ilvl w:val="0"/>
          <w:numId w:val="53"/>
        </w:numPr>
        <w:rPr>
          <w:noProof/>
          <w:lang w:eastAsia="en-GB"/>
        </w:rPr>
      </w:pPr>
      <w:r>
        <w:rPr>
          <w:noProof/>
          <w:lang w:eastAsia="en-GB"/>
        </w:rPr>
        <w:lastRenderedPageBreak/>
        <w:t xml:space="preserve">The front door of the ED should be managed by the ED and fall within its quality improvement and governance systems. </w:t>
      </w:r>
    </w:p>
    <w:p w:rsidR="003E1E32" w:rsidRDefault="003E1E32" w:rsidP="003E1E32">
      <w:pPr>
        <w:pStyle w:val="ListParagraph"/>
        <w:numPr>
          <w:ilvl w:val="0"/>
          <w:numId w:val="53"/>
        </w:numPr>
        <w:rPr>
          <w:noProof/>
          <w:lang w:eastAsia="en-GB"/>
        </w:rPr>
      </w:pPr>
      <w:r>
        <w:rPr>
          <w:noProof/>
          <w:lang w:eastAsia="en-GB"/>
        </w:rPr>
        <w:t xml:space="preserve">Any process of navigation or streaming, should be designed so that patient safety is paramount. </w:t>
      </w:r>
    </w:p>
    <w:p w:rsidR="003E1E32" w:rsidRDefault="003E1E32" w:rsidP="003E1E32">
      <w:pPr>
        <w:pStyle w:val="ListParagraph"/>
        <w:numPr>
          <w:ilvl w:val="0"/>
          <w:numId w:val="53"/>
        </w:numPr>
        <w:rPr>
          <w:noProof/>
          <w:lang w:eastAsia="en-GB"/>
        </w:rPr>
      </w:pPr>
      <w:r>
        <w:rPr>
          <w:noProof/>
          <w:lang w:eastAsia="en-GB"/>
        </w:rPr>
        <w:t xml:space="preserve">Any intitial assessment process should improve the quality of care provided for patients. </w:t>
      </w:r>
    </w:p>
    <w:p w:rsidR="003E1E32" w:rsidRDefault="003E1E32" w:rsidP="003E1E32">
      <w:pPr>
        <w:pStyle w:val="ListParagraph"/>
        <w:numPr>
          <w:ilvl w:val="0"/>
          <w:numId w:val="53"/>
        </w:numPr>
        <w:rPr>
          <w:noProof/>
          <w:lang w:eastAsia="en-GB"/>
        </w:rPr>
      </w:pPr>
      <w:r>
        <w:rPr>
          <w:noProof/>
          <w:lang w:eastAsia="en-GB"/>
        </w:rPr>
        <w:t xml:space="preserve">If patients are advised to attend the ED by other NHS services, navigation and streaming decisions should acknowledge this. </w:t>
      </w:r>
    </w:p>
    <w:p w:rsidR="003E1E32" w:rsidRDefault="003E1E32" w:rsidP="003E1E32">
      <w:pPr>
        <w:rPr>
          <w:b/>
          <w:noProof/>
          <w:lang w:eastAsia="en-GB"/>
        </w:rPr>
      </w:pPr>
      <w:r>
        <w:rPr>
          <w:b/>
          <w:noProof/>
          <w:lang w:eastAsia="en-GB"/>
        </w:rPr>
        <w:t xml:space="preserve">Navigation and Streaming Pathways for Initial Assessment. Walk-Ins and Self Presentations. </w:t>
      </w:r>
    </w:p>
    <w:p w:rsidR="003E1E32" w:rsidRDefault="003E1E32" w:rsidP="003E1E32">
      <w:pPr>
        <w:rPr>
          <w:b/>
          <w:noProof/>
          <w:lang w:eastAsia="en-GB"/>
        </w:rPr>
      </w:pPr>
    </w:p>
    <w:p w:rsidR="003E1E32" w:rsidRDefault="003E1E32" w:rsidP="003E1E32">
      <w:pPr>
        <w:rPr>
          <w:noProof/>
          <w:lang w:eastAsia="en-GB"/>
        </w:rPr>
      </w:pPr>
      <w:r>
        <w:rPr>
          <w:noProof/>
          <w:lang w:eastAsia="en-GB"/>
        </w:rPr>
        <w:t>Patients that self present at ED main reception undergo a concurrent navigation process undertaken by streaming staff whilst booking in. Please see below flow chart regarding this stream of patient. Principles include:</w:t>
      </w:r>
    </w:p>
    <w:p w:rsidR="003E1E32" w:rsidRDefault="003E1E32" w:rsidP="003E1E32">
      <w:pPr>
        <w:rPr>
          <w:noProof/>
          <w:lang w:eastAsia="en-GB"/>
        </w:rPr>
      </w:pPr>
    </w:p>
    <w:p w:rsidR="003E1E32" w:rsidRDefault="003E1E32" w:rsidP="003E1E32">
      <w:pPr>
        <w:pStyle w:val="ListParagraph"/>
        <w:numPr>
          <w:ilvl w:val="0"/>
          <w:numId w:val="54"/>
        </w:numPr>
        <w:rPr>
          <w:noProof/>
          <w:lang w:eastAsia="en-GB"/>
        </w:rPr>
      </w:pPr>
      <w:r>
        <w:rPr>
          <w:noProof/>
          <w:lang w:eastAsia="en-GB"/>
        </w:rPr>
        <w:t xml:space="preserve">Registration, Streaming &amp; Triage should be performed as soon as possible but within </w:t>
      </w:r>
      <w:r>
        <w:rPr>
          <w:b/>
          <w:noProof/>
          <w:lang w:eastAsia="en-GB"/>
        </w:rPr>
        <w:t>15 minutes</w:t>
      </w:r>
      <w:r>
        <w:rPr>
          <w:noProof/>
          <w:lang w:eastAsia="en-GB"/>
        </w:rPr>
        <w:t xml:space="preserve"> of arrival. </w:t>
      </w:r>
    </w:p>
    <w:p w:rsidR="003E1E32" w:rsidRDefault="003E1E32" w:rsidP="003E1E32">
      <w:pPr>
        <w:pStyle w:val="ListParagraph"/>
        <w:numPr>
          <w:ilvl w:val="0"/>
          <w:numId w:val="54"/>
        </w:numPr>
        <w:rPr>
          <w:noProof/>
          <w:lang w:eastAsia="en-GB"/>
        </w:rPr>
      </w:pPr>
      <w:r>
        <w:rPr>
          <w:noProof/>
          <w:lang w:eastAsia="en-GB"/>
        </w:rPr>
        <w:t>Mancester Triage Score should be obtained for all A&amp;E patients presenting via triage, including paediatrics, within 15 mins</w:t>
      </w:r>
    </w:p>
    <w:p w:rsidR="003E1E32" w:rsidRDefault="003E1E32" w:rsidP="003E1E32">
      <w:pPr>
        <w:pStyle w:val="ListParagraph"/>
        <w:numPr>
          <w:ilvl w:val="0"/>
          <w:numId w:val="54"/>
        </w:numPr>
        <w:rPr>
          <w:noProof/>
          <w:lang w:eastAsia="en-GB"/>
        </w:rPr>
      </w:pPr>
      <w:r>
        <w:rPr>
          <w:noProof/>
          <w:lang w:eastAsia="en-GB"/>
        </w:rPr>
        <w:t xml:space="preserve">All paediatric patients should have a set of observations recorded. </w:t>
      </w:r>
    </w:p>
    <w:p w:rsidR="003E1E32" w:rsidRDefault="003E1E32" w:rsidP="003E1E32">
      <w:pPr>
        <w:pStyle w:val="ListParagraph"/>
        <w:numPr>
          <w:ilvl w:val="0"/>
          <w:numId w:val="54"/>
        </w:numPr>
        <w:rPr>
          <w:noProof/>
          <w:lang w:eastAsia="en-GB"/>
        </w:rPr>
      </w:pPr>
      <w:r>
        <w:rPr>
          <w:noProof/>
          <w:lang w:eastAsia="en-GB"/>
        </w:rPr>
        <w:t>Clinical streaming practitioners should work to the agreed Service Specifications. Embedded below:</w:t>
      </w:r>
    </w:p>
    <w:p w:rsidR="003E1E32" w:rsidRDefault="003E1E32" w:rsidP="003E1E32">
      <w:pPr>
        <w:pStyle w:val="ListParagraph"/>
        <w:rPr>
          <w:noProof/>
          <w:lang w:eastAsia="en-GB"/>
        </w:rPr>
      </w:pPr>
    </w:p>
    <w:p w:rsidR="003E1E32" w:rsidRDefault="003E1E32" w:rsidP="003E1E32">
      <w:pPr>
        <w:pStyle w:val="ListParagraph"/>
        <w:rPr>
          <w:noProof/>
          <w:lang w:eastAsia="en-GB"/>
        </w:rPr>
      </w:pPr>
      <w:r>
        <w:rPr>
          <w:noProof/>
          <w:lang w:eastAsia="en-GB"/>
        </w:rPr>
        <w:t xml:space="preserve"> </w:t>
      </w:r>
    </w:p>
    <w:p w:rsidR="003E1E32" w:rsidRDefault="003E1E32" w:rsidP="003E1E32">
      <w:pPr>
        <w:rPr>
          <w:noProof/>
          <w:lang w:eastAsia="en-GB"/>
        </w:rPr>
      </w:pPr>
    </w:p>
    <w:p w:rsidR="003E1E32" w:rsidRDefault="003E1E32" w:rsidP="003E1E32">
      <w:pPr>
        <w:pStyle w:val="ListParagraph"/>
        <w:numPr>
          <w:ilvl w:val="0"/>
          <w:numId w:val="54"/>
        </w:numPr>
        <w:rPr>
          <w:noProof/>
          <w:lang w:eastAsia="en-GB"/>
        </w:rPr>
      </w:pPr>
      <w:r>
        <w:rPr>
          <w:noProof/>
          <w:lang w:eastAsia="en-GB"/>
        </w:rPr>
        <w:t>If delays begin to build up in the registration, streaming &amp; Triage process (</w:t>
      </w:r>
      <w:r>
        <w:rPr>
          <w:b/>
          <w:noProof/>
          <w:lang w:eastAsia="en-GB"/>
        </w:rPr>
        <w:t>over 15 minutes</w:t>
      </w:r>
      <w:r>
        <w:rPr>
          <w:noProof/>
          <w:lang w:eastAsia="en-GB"/>
        </w:rPr>
        <w:t xml:space="preserve">) these should be escalated to the Nurse in Charge (NIC) and Emergency Physician in Charge (EPIC)of the department. Actions to take include additional admin support at reception and the consideration of an additional streaming practitioner (Escalation action card attached below). </w:t>
      </w:r>
    </w:p>
    <w:p w:rsidR="003E1E32" w:rsidRDefault="003E1E32" w:rsidP="003E1E32">
      <w:pPr>
        <w:pStyle w:val="ListParagraph"/>
        <w:rPr>
          <w:noProof/>
          <w:lang w:eastAsia="en-GB"/>
        </w:rPr>
      </w:pPr>
    </w:p>
    <w:p w:rsidR="003E1E32" w:rsidRDefault="003E1E32" w:rsidP="003E1E32">
      <w:pPr>
        <w:pStyle w:val="ListParagraph"/>
        <w:rPr>
          <w:noProof/>
          <w:lang w:eastAsia="en-GB"/>
        </w:rPr>
      </w:pPr>
      <w:r>
        <w:rPr>
          <w:noProof/>
          <w:lang w:eastAsia="en-GB"/>
        </w:rPr>
        <w:drawing>
          <wp:anchor distT="0" distB="0" distL="114300" distR="114300" simplePos="0" relativeHeight="251832832" behindDoc="1" locked="0" layoutInCell="1" allowOverlap="1">
            <wp:simplePos x="0" y="0"/>
            <wp:positionH relativeFrom="column">
              <wp:posOffset>-87630</wp:posOffset>
            </wp:positionH>
            <wp:positionV relativeFrom="paragraph">
              <wp:posOffset>1270</wp:posOffset>
            </wp:positionV>
            <wp:extent cx="5995035" cy="4492625"/>
            <wp:effectExtent l="0" t="0" r="5715" b="3175"/>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95035" cy="4492625"/>
                    </a:xfrm>
                    <a:prstGeom prst="rect">
                      <a:avLst/>
                    </a:prstGeom>
                    <a:noFill/>
                  </pic:spPr>
                </pic:pic>
              </a:graphicData>
            </a:graphic>
            <wp14:sizeRelH relativeFrom="page">
              <wp14:pctWidth>0</wp14:pctWidth>
            </wp14:sizeRelH>
            <wp14:sizeRelV relativeFrom="page">
              <wp14:pctHeight>0</wp14:pctHeight>
            </wp14:sizeRelV>
          </wp:anchor>
        </w:drawing>
      </w:r>
    </w:p>
    <w:p w:rsidR="003E1E32" w:rsidRDefault="003E1E32" w:rsidP="003E1E32">
      <w:pPr>
        <w:rPr>
          <w:b/>
        </w:rPr>
      </w:pPr>
    </w:p>
    <w:p w:rsidR="003E1E32" w:rsidRDefault="003E1E32" w:rsidP="003E1E32">
      <w:pPr>
        <w:rPr>
          <w:b/>
        </w:rPr>
      </w:pPr>
    </w:p>
    <w:p w:rsidR="003E1E32" w:rsidRDefault="003E1E32" w:rsidP="003E1E32">
      <w:pPr>
        <w:rPr>
          <w:b/>
        </w:rPr>
      </w:pPr>
    </w:p>
    <w:p w:rsidR="003E1E32" w:rsidRDefault="003E1E32" w:rsidP="003E1E32">
      <w:pPr>
        <w:rPr>
          <w:b/>
        </w:rPr>
      </w:pPr>
    </w:p>
    <w:p w:rsidR="003E1E32" w:rsidRDefault="003E1E32" w:rsidP="003E1E32">
      <w:pPr>
        <w:rPr>
          <w:b/>
        </w:rPr>
      </w:pPr>
    </w:p>
    <w:p w:rsidR="003E1E32" w:rsidRDefault="003E1E32" w:rsidP="003E1E32">
      <w:pPr>
        <w:rPr>
          <w:b/>
        </w:rPr>
      </w:pPr>
    </w:p>
    <w:p w:rsidR="003E1E32" w:rsidRDefault="003E1E32" w:rsidP="003E1E32">
      <w:pPr>
        <w:rPr>
          <w:b/>
        </w:rPr>
      </w:pPr>
    </w:p>
    <w:p w:rsidR="003E1E32" w:rsidRDefault="003E1E32" w:rsidP="003E1E32">
      <w:pPr>
        <w:rPr>
          <w:b/>
        </w:rPr>
      </w:pPr>
    </w:p>
    <w:p w:rsidR="003E1E32" w:rsidRDefault="003E1E32" w:rsidP="003E1E32">
      <w:pPr>
        <w:rPr>
          <w:b/>
        </w:rPr>
      </w:pPr>
    </w:p>
    <w:p w:rsidR="003E1E32" w:rsidRDefault="003E1E32" w:rsidP="003E1E32">
      <w:pPr>
        <w:rPr>
          <w:b/>
        </w:rPr>
      </w:pPr>
    </w:p>
    <w:p w:rsidR="003E1E32" w:rsidRDefault="003E1E32" w:rsidP="003E1E32">
      <w:pPr>
        <w:rPr>
          <w:b/>
        </w:rPr>
      </w:pPr>
    </w:p>
    <w:p w:rsidR="003E1E32" w:rsidRDefault="003E1E32" w:rsidP="003E1E32">
      <w:pPr>
        <w:rPr>
          <w:b/>
        </w:rPr>
      </w:pPr>
    </w:p>
    <w:p w:rsidR="003E1E32" w:rsidRDefault="003E1E32" w:rsidP="003E1E32">
      <w:pPr>
        <w:rPr>
          <w:b/>
        </w:rPr>
      </w:pPr>
    </w:p>
    <w:p w:rsidR="003E1E32" w:rsidRDefault="003E1E32" w:rsidP="003E1E32">
      <w:pPr>
        <w:rPr>
          <w:b/>
        </w:rPr>
      </w:pPr>
    </w:p>
    <w:p w:rsidR="003E1E32" w:rsidRDefault="003E1E32" w:rsidP="003E1E32">
      <w:pPr>
        <w:rPr>
          <w:b/>
        </w:rPr>
      </w:pPr>
    </w:p>
    <w:p w:rsidR="003E1E32" w:rsidRDefault="003E1E32" w:rsidP="003E1E32">
      <w:pPr>
        <w:rPr>
          <w:b/>
        </w:rPr>
      </w:pPr>
    </w:p>
    <w:p w:rsidR="003E1E32" w:rsidRDefault="003E1E32" w:rsidP="003E1E32">
      <w:pPr>
        <w:rPr>
          <w:b/>
        </w:rPr>
      </w:pPr>
    </w:p>
    <w:p w:rsidR="003E1E32" w:rsidRDefault="003E1E32" w:rsidP="003E1E32">
      <w:pPr>
        <w:rPr>
          <w:b/>
        </w:rPr>
      </w:pPr>
    </w:p>
    <w:p w:rsidR="003E1E32" w:rsidRDefault="003E1E32" w:rsidP="003E1E32">
      <w:r>
        <w:rPr>
          <w:b/>
        </w:rPr>
        <w:t xml:space="preserve">GP Urgent Care Patients </w:t>
      </w:r>
    </w:p>
    <w:p w:rsidR="003E1E32" w:rsidRDefault="003E1E32" w:rsidP="003E1E32"/>
    <w:p w:rsidR="003E1E32" w:rsidRDefault="003E1E32" w:rsidP="003E1E32">
      <w:r>
        <w:t>Patients who are streamed to the Urgent Care GP service can expect:</w:t>
      </w:r>
    </w:p>
    <w:p w:rsidR="003E1E32" w:rsidRDefault="003E1E32" w:rsidP="003E1E32">
      <w:pPr>
        <w:pStyle w:val="ListParagraph"/>
        <w:numPr>
          <w:ilvl w:val="0"/>
          <w:numId w:val="54"/>
        </w:numPr>
      </w:pPr>
      <w:r>
        <w:t>To be assessed and treated according to agreed service specification:</w:t>
      </w:r>
    </w:p>
    <w:p w:rsidR="003E1E32" w:rsidRDefault="003E1E32" w:rsidP="003E1E32">
      <w:pPr>
        <w:pStyle w:val="ListParagraph"/>
      </w:pPr>
    </w:p>
    <w:p w:rsidR="003E1E32" w:rsidRDefault="003E1E32" w:rsidP="003E1E32">
      <w:pPr>
        <w:ind w:left="360"/>
      </w:pPr>
    </w:p>
    <w:p w:rsidR="003E1E32" w:rsidRDefault="003E1E32" w:rsidP="003E1E32">
      <w:pPr>
        <w:pStyle w:val="ListParagraph"/>
        <w:numPr>
          <w:ilvl w:val="0"/>
          <w:numId w:val="54"/>
        </w:numPr>
      </w:pPr>
      <w:r>
        <w:t xml:space="preserve">To not wait longer than 1 hours to be seen. </w:t>
      </w:r>
    </w:p>
    <w:p w:rsidR="003E1E32" w:rsidRDefault="003E1E32" w:rsidP="003E1E32">
      <w:pPr>
        <w:pStyle w:val="ListParagraph"/>
        <w:numPr>
          <w:ilvl w:val="0"/>
          <w:numId w:val="54"/>
        </w:numPr>
      </w:pPr>
      <w:r>
        <w:t xml:space="preserve">If the wait is longer than 1 hour to be assessed by a clinician in triage. </w:t>
      </w:r>
    </w:p>
    <w:p w:rsidR="003E1E32" w:rsidRDefault="003E1E32" w:rsidP="003E1E32">
      <w:pPr>
        <w:pStyle w:val="ListParagraph"/>
        <w:numPr>
          <w:ilvl w:val="0"/>
          <w:numId w:val="54"/>
        </w:numPr>
      </w:pPr>
      <w:r>
        <w:t xml:space="preserve">If required, to be referred back into the ED Department via a referral to the NIC/EPIC. </w:t>
      </w:r>
    </w:p>
    <w:p w:rsidR="003E1E32" w:rsidRDefault="003E1E32" w:rsidP="003E1E32">
      <w:pPr>
        <w:pStyle w:val="ListParagraph"/>
        <w:numPr>
          <w:ilvl w:val="0"/>
          <w:numId w:val="54"/>
        </w:numPr>
      </w:pPr>
      <w:r>
        <w:t xml:space="preserve">Joint Clinical Governance Processes between providers to review service specifications and quality/performance indicators outlined within service specifications. </w:t>
      </w:r>
    </w:p>
    <w:p w:rsidR="003E1E32" w:rsidRDefault="003E1E32" w:rsidP="003E1E32"/>
    <w:p w:rsidR="003E1E32" w:rsidRDefault="003E1E32" w:rsidP="003E1E32">
      <w:pPr>
        <w:rPr>
          <w:b/>
        </w:rPr>
      </w:pPr>
      <w:r>
        <w:rPr>
          <w:b/>
        </w:rPr>
        <w:t xml:space="preserve">See and Treat/Minor Injuries/Illness Patients. </w:t>
      </w:r>
    </w:p>
    <w:p w:rsidR="003E1E32" w:rsidRDefault="003E1E32" w:rsidP="003E1E32">
      <w:pPr>
        <w:rPr>
          <w:b/>
        </w:rPr>
      </w:pPr>
    </w:p>
    <w:p w:rsidR="003E1E32" w:rsidRDefault="003E1E32" w:rsidP="003E1E32">
      <w:r>
        <w:t xml:space="preserve">Minor injuries/illness patients can be directly seen without additional triage or assessment post streaming. Advantages include that patients are seen directly by a single appropriately trained practitioner who can complete the episode of care for that patient. As a safeguard for this group of patients if they are not seen within 1 hour the patient will have a clinical assessment by a clinician in triage. </w:t>
      </w:r>
    </w:p>
    <w:p w:rsidR="003E1E32" w:rsidRDefault="003E1E32" w:rsidP="003E1E32"/>
    <w:p w:rsidR="003E1E32" w:rsidRDefault="003E1E32" w:rsidP="003E1E32"/>
    <w:p w:rsidR="003E1E32" w:rsidRDefault="003E1E32" w:rsidP="003E1E32">
      <w:pPr>
        <w:rPr>
          <w:b/>
        </w:rPr>
      </w:pPr>
      <w:r>
        <w:rPr>
          <w:b/>
        </w:rPr>
        <w:t>Patients for Majors/Triage</w:t>
      </w:r>
    </w:p>
    <w:p w:rsidR="003E1E32" w:rsidRDefault="003E1E32" w:rsidP="003E1E32"/>
    <w:p w:rsidR="003E1E32" w:rsidRDefault="003E1E32" w:rsidP="003E1E32">
      <w:r>
        <w:t>Walk-in patients, or those referred from inside the Hospital that are deemed to be ‘Majors’, need to be dealt with via the standard triage process, and this will be immediately documented in the patients’ ED card following registration.</w:t>
      </w:r>
    </w:p>
    <w:p w:rsidR="003E1E32" w:rsidRDefault="003E1E32" w:rsidP="003E1E32"/>
    <w:p w:rsidR="003E1E32" w:rsidRDefault="003E1E32" w:rsidP="003E1E32">
      <w:r>
        <w:t>The documentation must consist of…</w:t>
      </w:r>
    </w:p>
    <w:p w:rsidR="003E1E32" w:rsidRDefault="003E1E32" w:rsidP="003E1E32">
      <w:pPr>
        <w:numPr>
          <w:ilvl w:val="0"/>
          <w:numId w:val="55"/>
        </w:numPr>
      </w:pPr>
      <w:r>
        <w:t>Triage Nurse’s name</w:t>
      </w:r>
    </w:p>
    <w:p w:rsidR="003E1E32" w:rsidRDefault="003E1E32" w:rsidP="003E1E32">
      <w:pPr>
        <w:numPr>
          <w:ilvl w:val="0"/>
          <w:numId w:val="55"/>
        </w:numPr>
      </w:pPr>
      <w:r>
        <w:t>Date</w:t>
      </w:r>
    </w:p>
    <w:p w:rsidR="003E1E32" w:rsidRDefault="003E1E32" w:rsidP="003E1E32">
      <w:pPr>
        <w:numPr>
          <w:ilvl w:val="0"/>
          <w:numId w:val="55"/>
        </w:numPr>
      </w:pPr>
      <w:r>
        <w:t>Time</w:t>
      </w:r>
    </w:p>
    <w:p w:rsidR="003E1E32" w:rsidRDefault="003E1E32" w:rsidP="003E1E32">
      <w:pPr>
        <w:numPr>
          <w:ilvl w:val="0"/>
          <w:numId w:val="55"/>
        </w:numPr>
      </w:pPr>
      <w:r>
        <w:t>Presenting complaint/s</w:t>
      </w:r>
    </w:p>
    <w:p w:rsidR="003E1E32" w:rsidRDefault="003E1E32" w:rsidP="003E1E32">
      <w:pPr>
        <w:numPr>
          <w:ilvl w:val="0"/>
          <w:numId w:val="55"/>
        </w:numPr>
      </w:pPr>
      <w:r>
        <w:t>Discriminator from MTS algorithm</w:t>
      </w:r>
    </w:p>
    <w:p w:rsidR="003E1E32" w:rsidRDefault="003E1E32" w:rsidP="003E1E32">
      <w:pPr>
        <w:numPr>
          <w:ilvl w:val="0"/>
          <w:numId w:val="55"/>
        </w:numPr>
      </w:pPr>
      <w:r>
        <w:t>Pain score and offer analgesia via PGD</w:t>
      </w:r>
    </w:p>
    <w:p w:rsidR="003E1E32" w:rsidRDefault="003E1E32" w:rsidP="003E1E32">
      <w:pPr>
        <w:numPr>
          <w:ilvl w:val="0"/>
          <w:numId w:val="55"/>
        </w:numPr>
      </w:pPr>
      <w:r>
        <w:t>Triage category as per National Triage Scale</w:t>
      </w:r>
    </w:p>
    <w:p w:rsidR="003E1E32" w:rsidRDefault="003E1E32" w:rsidP="003E1E32">
      <w:pPr>
        <w:numPr>
          <w:ilvl w:val="0"/>
          <w:numId w:val="55"/>
        </w:numPr>
      </w:pPr>
      <w:r>
        <w:t>Triage category must also be completed on the Medway system</w:t>
      </w:r>
    </w:p>
    <w:p w:rsidR="003E1E32" w:rsidRDefault="003E1E32" w:rsidP="003E1E32">
      <w:pPr>
        <w:numPr>
          <w:ilvl w:val="0"/>
          <w:numId w:val="55"/>
        </w:numPr>
      </w:pPr>
      <w:r>
        <w:t>Who has accompanied the patient</w:t>
      </w:r>
    </w:p>
    <w:p w:rsidR="003E1E32" w:rsidRDefault="003E1E32" w:rsidP="003E1E32">
      <w:pPr>
        <w:numPr>
          <w:ilvl w:val="0"/>
          <w:numId w:val="55"/>
        </w:numPr>
      </w:pPr>
      <w:r>
        <w:t>Safeguarding alerts/other triggers on Medway</w:t>
      </w:r>
    </w:p>
    <w:p w:rsidR="003E1E32" w:rsidRDefault="003E1E32" w:rsidP="003E1E32"/>
    <w:p w:rsidR="003E1E32" w:rsidRDefault="003E1E32" w:rsidP="003E1E32"/>
    <w:p w:rsidR="003E1E32" w:rsidRDefault="003E1E32" w:rsidP="003E1E32"/>
    <w:p w:rsidR="003E1E32" w:rsidRDefault="003E1E32" w:rsidP="003E1E32">
      <w:r>
        <w:t>While triaging children, in addition to above, consideration must also be given to safeguarding concerns, including…</w:t>
      </w:r>
    </w:p>
    <w:p w:rsidR="003E1E32" w:rsidRDefault="003E1E32" w:rsidP="003E1E32">
      <w:pPr>
        <w:numPr>
          <w:ilvl w:val="0"/>
          <w:numId w:val="56"/>
        </w:numPr>
      </w:pPr>
      <w:r>
        <w:t>History</w:t>
      </w:r>
    </w:p>
    <w:p w:rsidR="003E1E32" w:rsidRDefault="003E1E32" w:rsidP="003E1E32">
      <w:pPr>
        <w:numPr>
          <w:ilvl w:val="0"/>
          <w:numId w:val="56"/>
        </w:numPr>
      </w:pPr>
      <w:r>
        <w:lastRenderedPageBreak/>
        <w:t>Previous attendances</w:t>
      </w:r>
    </w:p>
    <w:p w:rsidR="003E1E32" w:rsidRDefault="003E1E32" w:rsidP="003E1E32">
      <w:pPr>
        <w:numPr>
          <w:ilvl w:val="0"/>
          <w:numId w:val="56"/>
        </w:numPr>
      </w:pPr>
      <w:r>
        <w:t>Where necessary, request a safeguarding plan check with the child safeguarding department</w:t>
      </w:r>
    </w:p>
    <w:p w:rsidR="003E1E32" w:rsidRDefault="003E1E32" w:rsidP="003E1E32">
      <w:r>
        <w:t>Document any concerns and follow safeguarding referral process</w:t>
      </w:r>
    </w:p>
    <w:p w:rsidR="003E1E32" w:rsidRDefault="003E1E32" w:rsidP="003E1E32"/>
    <w:p w:rsidR="003E1E32" w:rsidRDefault="003E1E32" w:rsidP="003E1E32">
      <w:pPr>
        <w:rPr>
          <w:b/>
          <w:noProof/>
          <w:lang w:eastAsia="en-GB"/>
        </w:rPr>
      </w:pPr>
      <w:r>
        <w:rPr>
          <w:b/>
          <w:noProof/>
          <w:lang w:eastAsia="en-GB"/>
        </w:rPr>
        <w:t xml:space="preserve">Navigation and Streaming Pathways for Initial Assessment. 999 Ambulance Presentations. </w:t>
      </w:r>
    </w:p>
    <w:p w:rsidR="003E1E32" w:rsidRDefault="003E1E32" w:rsidP="003E1E32">
      <w:pPr>
        <w:rPr>
          <w:b/>
          <w:noProof/>
          <w:lang w:eastAsia="en-GB"/>
        </w:rPr>
      </w:pPr>
    </w:p>
    <w:p w:rsidR="003E1E32" w:rsidRDefault="003E1E32" w:rsidP="003E1E32">
      <w:pPr>
        <w:rPr>
          <w:noProof/>
          <w:lang w:eastAsia="en-GB"/>
        </w:rPr>
      </w:pPr>
      <w:r>
        <w:rPr>
          <w:noProof/>
          <w:lang w:eastAsia="en-GB"/>
        </w:rPr>
        <w:t xml:space="preserve">Patients that enter ED via the ambulance service should either go straight into The Resus Area or to the Rapid Assessment and Initial Treatment (RAIT) area and handover to an appropraitely qualified RAIT Team member/ Resus Doctor. This process should be completed within </w:t>
      </w:r>
      <w:r>
        <w:rPr>
          <w:b/>
          <w:noProof/>
          <w:lang w:eastAsia="en-GB"/>
        </w:rPr>
        <w:t>15 minutes</w:t>
      </w:r>
      <w:r>
        <w:rPr>
          <w:noProof/>
          <w:lang w:eastAsia="en-GB"/>
        </w:rPr>
        <w:t xml:space="preserve">. The RAIT or Resus practitioner should complete a Mancester Triage Score and enter this upon Medway within 15 minutes. </w:t>
      </w:r>
    </w:p>
    <w:p w:rsidR="003E1E32" w:rsidRDefault="003E1E32" w:rsidP="003E1E32">
      <w:pPr>
        <w:rPr>
          <w:noProof/>
          <w:lang w:eastAsia="en-GB"/>
        </w:rPr>
      </w:pPr>
    </w:p>
    <w:p w:rsidR="003E1E32" w:rsidRDefault="003E1E32" w:rsidP="003E1E32">
      <w:pPr>
        <w:rPr>
          <w:noProof/>
          <w:lang w:eastAsia="en-GB"/>
        </w:rPr>
      </w:pPr>
      <w:r>
        <w:rPr>
          <w:noProof/>
          <w:lang w:eastAsia="en-GB"/>
        </w:rPr>
        <w:t>If ambulance crews are waiting longer than 15 minutes to handover then patients should be managed using the agreed EMAS ( East Midlands Ambulance Service) and ULHT ( United Lincolnshire Hospitals Trust) polices and procedures which are embedded below:</w:t>
      </w:r>
    </w:p>
    <w:p w:rsidR="003E1E32" w:rsidRDefault="003E1E32" w:rsidP="003E1E32">
      <w:pPr>
        <w:rPr>
          <w:noProof/>
          <w:lang w:eastAsia="en-GB"/>
        </w:rPr>
      </w:pPr>
    </w:p>
    <w:p w:rsidR="003E1E32" w:rsidRDefault="003E1E32" w:rsidP="003E1E32">
      <w:pPr>
        <w:rPr>
          <w:noProof/>
          <w:lang w:eastAsia="en-GB"/>
        </w:rPr>
      </w:pPr>
      <w:r>
        <w:rPr>
          <w:noProof/>
          <w:lang w:eastAsia="en-GB"/>
        </w:rPr>
        <w:t>Pre Handover Practitioner SOP</w:t>
      </w:r>
    </w:p>
    <w:p w:rsidR="003E1E32" w:rsidRDefault="003E1E32" w:rsidP="003E1E32">
      <w:pPr>
        <w:rPr>
          <w:noProof/>
          <w:lang w:eastAsia="en-GB"/>
        </w:rPr>
      </w:pPr>
    </w:p>
    <w:p w:rsidR="003E1E32" w:rsidRDefault="003E1E32" w:rsidP="003E1E32"/>
    <w:p w:rsidR="003E1E32" w:rsidRDefault="003E1E32" w:rsidP="003E1E32">
      <w:r>
        <w:t xml:space="preserve">EMAS Clinical Handover Procedure </w:t>
      </w:r>
    </w:p>
    <w:p w:rsidR="003E1E32" w:rsidRDefault="003E1E32" w:rsidP="003E1E32"/>
    <w:p w:rsidR="003E1E32" w:rsidRDefault="003E1E32" w:rsidP="003E1E32"/>
    <w:p w:rsidR="003E1E32" w:rsidRDefault="003E1E32" w:rsidP="003E1E32">
      <w:r>
        <w:t>EMAS Co-</w:t>
      </w:r>
      <w:proofErr w:type="spellStart"/>
      <w:r>
        <w:t>horting</w:t>
      </w:r>
      <w:proofErr w:type="spellEnd"/>
      <w:r>
        <w:t xml:space="preserve"> Guidance </w:t>
      </w:r>
    </w:p>
    <w:p w:rsidR="003E1E32" w:rsidRDefault="003E1E32" w:rsidP="003E1E32"/>
    <w:p w:rsidR="003E1E32" w:rsidRDefault="003E1E32" w:rsidP="003E1E32"/>
    <w:p w:rsidR="003E1E32" w:rsidRDefault="003E1E32" w:rsidP="003E1E32"/>
    <w:p w:rsidR="003E1E32" w:rsidRDefault="003E1E32" w:rsidP="003E1E32">
      <w:r>
        <w:t xml:space="preserve">EMAS Flow Chart </w:t>
      </w:r>
    </w:p>
    <w:p w:rsidR="003E1E32" w:rsidRDefault="003E1E32" w:rsidP="003E1E32"/>
    <w:p w:rsidR="003E1E32" w:rsidRDefault="003E1E32" w:rsidP="003E1E32"/>
    <w:p w:rsidR="003E1E32" w:rsidRDefault="003E1E32" w:rsidP="003E1E32">
      <w:r>
        <w:t xml:space="preserve">EMAS Pre-Handover Document </w:t>
      </w:r>
    </w:p>
    <w:p w:rsidR="003E1E32" w:rsidRDefault="003E1E32" w:rsidP="003E1E32"/>
    <w:p w:rsidR="003E1E32" w:rsidRDefault="003E1E32" w:rsidP="003E1E32">
      <w:r>
        <w:t>All patients that have been waiting for 15 minutes or more with the ambulance crew will be assessed by a suitably qualified practitioner using the Pre-Handover Document. As a minimum the following will be established and documented:</w:t>
      </w:r>
    </w:p>
    <w:p w:rsidR="003E1E32" w:rsidRDefault="003E1E32" w:rsidP="003E1E32">
      <w:r>
        <w:t xml:space="preserve"> </w:t>
      </w:r>
    </w:p>
    <w:p w:rsidR="003E1E32" w:rsidRDefault="003E1E32" w:rsidP="003E1E32">
      <w:pPr>
        <w:pStyle w:val="ListParagraph"/>
        <w:numPr>
          <w:ilvl w:val="0"/>
          <w:numId w:val="57"/>
        </w:numPr>
      </w:pPr>
      <w:r>
        <w:t>Time of arrival</w:t>
      </w:r>
    </w:p>
    <w:p w:rsidR="003E1E32" w:rsidRDefault="003E1E32" w:rsidP="003E1E32">
      <w:pPr>
        <w:pStyle w:val="ListParagraph"/>
        <w:numPr>
          <w:ilvl w:val="0"/>
          <w:numId w:val="57"/>
        </w:numPr>
      </w:pPr>
      <w:r>
        <w:t>Name/Age</w:t>
      </w:r>
    </w:p>
    <w:p w:rsidR="003E1E32" w:rsidRDefault="003E1E32" w:rsidP="003E1E32">
      <w:pPr>
        <w:pStyle w:val="ListParagraph"/>
        <w:numPr>
          <w:ilvl w:val="0"/>
          <w:numId w:val="57"/>
        </w:numPr>
      </w:pPr>
      <w:r>
        <w:t xml:space="preserve">Presenting Complaint </w:t>
      </w:r>
    </w:p>
    <w:p w:rsidR="003E1E32" w:rsidRDefault="003E1E32" w:rsidP="003E1E32">
      <w:pPr>
        <w:pStyle w:val="ListParagraph"/>
        <w:numPr>
          <w:ilvl w:val="0"/>
          <w:numId w:val="57"/>
        </w:numPr>
      </w:pPr>
      <w:r>
        <w:t>Manchester Triage Score</w:t>
      </w:r>
    </w:p>
    <w:p w:rsidR="003E1E32" w:rsidRDefault="003E1E32" w:rsidP="003E1E32">
      <w:pPr>
        <w:pStyle w:val="ListParagraph"/>
        <w:numPr>
          <w:ilvl w:val="0"/>
          <w:numId w:val="57"/>
        </w:numPr>
      </w:pPr>
      <w:r>
        <w:t xml:space="preserve">NEWS/PEWS </w:t>
      </w:r>
    </w:p>
    <w:p w:rsidR="003E1E32" w:rsidRDefault="003E1E32" w:rsidP="003E1E32">
      <w:pPr>
        <w:pStyle w:val="ListParagraph"/>
        <w:numPr>
          <w:ilvl w:val="0"/>
          <w:numId w:val="57"/>
        </w:numPr>
      </w:pPr>
      <w:r>
        <w:t>Monitoring of Clinical Handover Procedure.</w:t>
      </w:r>
    </w:p>
    <w:p w:rsidR="003E1E32" w:rsidRDefault="003E1E32" w:rsidP="003E1E32"/>
    <w:p w:rsidR="003E1E32" w:rsidRDefault="003E1E32" w:rsidP="003E1E32">
      <w:r>
        <w:lastRenderedPageBreak/>
        <w:t>ULHT staff will continually and consistently maintain oversight of each patient in the handover queue via the EMAS crews and on an hourly basis (as a minimum) and document on the embedded EMAS Pre Handover Record Form.</w:t>
      </w:r>
    </w:p>
    <w:p w:rsidR="003E1E32" w:rsidRDefault="003E1E32" w:rsidP="003E1E32"/>
    <w:p w:rsidR="003E1E32" w:rsidRDefault="003E1E32" w:rsidP="003E1E32">
      <w:r>
        <w:t xml:space="preserve">The Pre-Hospital Practitioner will discuss with the Nurse in Charge of ED the condition and NEWS/PEWS score of all the patients in the queue. Patients should be handed over in time order unless the clinical condition of the patient indicates otherwise. Under these circumstances this will be agreed between the NIC, EPIC, PRP and Ambulance Crew. </w:t>
      </w:r>
    </w:p>
    <w:p w:rsidR="003E1E32" w:rsidRDefault="003E1E32" w:rsidP="003E1E32"/>
    <w:p w:rsidR="003E1E32" w:rsidRDefault="003E1E32" w:rsidP="003E1E32">
      <w:r>
        <w:t>The ED NIC must prioritise the sickest patient for handover and if still unable to off load the patient the NIC must inform the EPIC and escalate to the Site Duty Manager.</w:t>
      </w:r>
    </w:p>
    <w:p w:rsidR="003E1E32" w:rsidRDefault="003E1E32" w:rsidP="003E1E32"/>
    <w:p w:rsidR="003E1E32" w:rsidRDefault="003E1E32" w:rsidP="003E1E32">
      <w:r>
        <w:t xml:space="preserve">Ambulance delays (15 minutes or more) must be escalated to the Site Duty Manager (SDM) and Matron for department. </w:t>
      </w:r>
    </w:p>
    <w:p w:rsidR="003E1E32" w:rsidRDefault="003E1E32" w:rsidP="003E1E32"/>
    <w:p w:rsidR="003E1E32" w:rsidRDefault="003E1E32" w:rsidP="003E1E32">
      <w:r>
        <w:t xml:space="preserve">The SDM/Matron should review the department and in conjunction with the NIC and EPIC decide upon what action is required to enable ambulance crews to handover patients. This could include opening additional RAIT cubicles, allocating additional staff to the department or creating timely flow out of the department. This is not an exhaustive list of actions to take and these will require review depending on department circumstances.  </w:t>
      </w:r>
    </w:p>
    <w:p w:rsidR="003E1E32" w:rsidRDefault="003E1E32" w:rsidP="003E1E32"/>
    <w:p w:rsidR="003E1E32" w:rsidRDefault="003E1E32" w:rsidP="003E1E32">
      <w:r>
        <w:t>If appropriate escalation actions are not followed this must be reported and recorded via the incident management system.</w:t>
      </w:r>
    </w:p>
    <w:p w:rsidR="003E1E32" w:rsidRDefault="003E1E32" w:rsidP="003E1E32"/>
    <w:p w:rsidR="003E1E32" w:rsidRDefault="003E1E32" w:rsidP="003E1E32">
      <w:pPr>
        <w:rPr>
          <w:b/>
        </w:rPr>
      </w:pPr>
      <w:r>
        <w:rPr>
          <w:b/>
        </w:rPr>
        <w:t xml:space="preserve">RAIT Handover Process </w:t>
      </w:r>
    </w:p>
    <w:p w:rsidR="003E1E32" w:rsidRDefault="003E1E32" w:rsidP="003E1E32">
      <w:pPr>
        <w:rPr>
          <w:b/>
        </w:rPr>
      </w:pPr>
    </w:p>
    <w:p w:rsidR="003E1E32" w:rsidRDefault="003E1E32" w:rsidP="003E1E32">
      <w:r>
        <w:t xml:space="preserve">RAIT describes the process that a senior clinician is based as far forward in the ED process as possible and sees the patient as soon as possible after their arrival. That clinician can make decisions about that patients care and disposition early in the patient’s stay. </w:t>
      </w:r>
    </w:p>
    <w:p w:rsidR="003E1E32" w:rsidRDefault="003E1E32" w:rsidP="003E1E32">
      <w:r>
        <w:t>Guiding principles for the RAIT process include:</w:t>
      </w:r>
    </w:p>
    <w:p w:rsidR="003E1E32" w:rsidRDefault="003E1E32" w:rsidP="003E1E32"/>
    <w:p w:rsidR="003E1E32" w:rsidRDefault="003E1E32" w:rsidP="003E1E32">
      <w:pPr>
        <w:pStyle w:val="ListParagraph"/>
        <w:numPr>
          <w:ilvl w:val="0"/>
          <w:numId w:val="58"/>
        </w:numPr>
      </w:pPr>
      <w:r>
        <w:t xml:space="preserve">Any suitably qualified practitioner that is working in RAIT </w:t>
      </w:r>
      <w:proofErr w:type="gramStart"/>
      <w:r>
        <w:t>( Nurse</w:t>
      </w:r>
      <w:proofErr w:type="gramEnd"/>
      <w:r>
        <w:t xml:space="preserve">, AHP, Doctor) can take the clinical handover from the ambulance crew. </w:t>
      </w:r>
    </w:p>
    <w:p w:rsidR="003E1E32" w:rsidRDefault="003E1E32" w:rsidP="003E1E32">
      <w:pPr>
        <w:pStyle w:val="ListParagraph"/>
        <w:numPr>
          <w:ilvl w:val="0"/>
          <w:numId w:val="58"/>
        </w:numPr>
      </w:pPr>
      <w:r>
        <w:t>Handover to RAIT practitioners does not have to be given by the initial ambulance crew on scene. This can be given by a co-</w:t>
      </w:r>
      <w:proofErr w:type="spellStart"/>
      <w:r>
        <w:t>hort</w:t>
      </w:r>
      <w:proofErr w:type="spellEnd"/>
      <w:r>
        <w:t xml:space="preserve"> ambulance crew. </w:t>
      </w:r>
    </w:p>
    <w:p w:rsidR="003E1E32" w:rsidRDefault="003E1E32" w:rsidP="003E1E32">
      <w:pPr>
        <w:pStyle w:val="ListParagraph"/>
        <w:numPr>
          <w:ilvl w:val="0"/>
          <w:numId w:val="58"/>
        </w:numPr>
      </w:pPr>
      <w:r>
        <w:t xml:space="preserve">Clinical handover should not take longer than 5 minutes. </w:t>
      </w:r>
    </w:p>
    <w:p w:rsidR="003E1E32" w:rsidRDefault="003E1E32" w:rsidP="003E1E32">
      <w:pPr>
        <w:pStyle w:val="ListParagraph"/>
        <w:numPr>
          <w:ilvl w:val="0"/>
          <w:numId w:val="58"/>
        </w:numPr>
      </w:pPr>
      <w:r>
        <w:t xml:space="preserve">The RAIT process should be completed in 20-30 minutes depending on the patient. </w:t>
      </w:r>
    </w:p>
    <w:p w:rsidR="003E1E32" w:rsidRDefault="003E1E32" w:rsidP="003E1E32">
      <w:pPr>
        <w:pStyle w:val="ListParagraph"/>
        <w:numPr>
          <w:ilvl w:val="0"/>
          <w:numId w:val="58"/>
        </w:numPr>
      </w:pPr>
      <w:r>
        <w:t xml:space="preserve">Up to 4 RAIT cubicles can be opened with RAIT staff. Consideration should be given if required for additional staffing in RAIT depending on acuity and volume of patients. </w:t>
      </w:r>
    </w:p>
    <w:p w:rsidR="003E1E32" w:rsidRDefault="003E1E32" w:rsidP="003E1E32">
      <w:pPr>
        <w:pStyle w:val="ListParagraph"/>
        <w:numPr>
          <w:ilvl w:val="0"/>
          <w:numId w:val="58"/>
        </w:numPr>
      </w:pPr>
      <w:r>
        <w:t xml:space="preserve">Once RAIT process complete patient should move into cubicles or fit to sit if appropriate. </w:t>
      </w:r>
    </w:p>
    <w:p w:rsidR="003E1E32" w:rsidRDefault="003E1E32" w:rsidP="003E1E32"/>
    <w:p w:rsidR="003E1E32" w:rsidRDefault="003E1E32" w:rsidP="003E1E32">
      <w:r>
        <w:lastRenderedPageBreak/>
        <w:t xml:space="preserve">If all RAIT cubicles are in use and patients cannot move out of them due to lack of appropriate clinical space within the department this should be escalated to the NIC and EPIC immediately. </w:t>
      </w:r>
    </w:p>
    <w:p w:rsidR="003E1E32" w:rsidRDefault="003E1E32" w:rsidP="003E1E32"/>
    <w:p w:rsidR="003E1E32" w:rsidRDefault="003E1E32" w:rsidP="003E1E32">
      <w:r>
        <w:t xml:space="preserve">The NIC and EPIC should then review department and establish what actions are required to free up RAIT cubicles and undertake those actions. </w:t>
      </w:r>
    </w:p>
    <w:p w:rsidR="003E1E32" w:rsidRDefault="003E1E32" w:rsidP="003E1E32"/>
    <w:p w:rsidR="003E1E32" w:rsidRDefault="003E1E32" w:rsidP="003E1E32">
      <w:r>
        <w:t xml:space="preserve">Early escalation to the Matron and SDM should occur to assist in creating department space to allow RAIT to work effectively. </w:t>
      </w:r>
    </w:p>
    <w:p w:rsidR="003E1E32" w:rsidRDefault="003E1E32" w:rsidP="003E1E32"/>
    <w:p w:rsidR="003E1E32" w:rsidRDefault="003E1E32" w:rsidP="003E1E32"/>
    <w:p w:rsidR="003E1E32" w:rsidRDefault="003E1E32" w:rsidP="003E1E32"/>
    <w:p w:rsidR="003E1E32" w:rsidRDefault="003E1E32" w:rsidP="003E1E32">
      <w:pPr>
        <w:rPr>
          <w:b/>
        </w:rPr>
      </w:pPr>
      <w:r>
        <w:rPr>
          <w:b/>
        </w:rPr>
        <w:t>Room Escalation and Corridor Nursing</w:t>
      </w:r>
    </w:p>
    <w:p w:rsidR="003E1E32" w:rsidRDefault="003E1E32" w:rsidP="003E1E32"/>
    <w:p w:rsidR="003E1E32" w:rsidRDefault="003E1E32" w:rsidP="003E1E32">
      <w:r>
        <w:t xml:space="preserve">At times of extreme pressure there may be times, or a necessity for, patients to </w:t>
      </w:r>
      <w:proofErr w:type="gramStart"/>
      <w:r>
        <w:t>be  treated</w:t>
      </w:r>
      <w:proofErr w:type="gramEnd"/>
      <w:r>
        <w:t xml:space="preserve"> in the ED corridor or in areas of escalation.  The SOP below is designed to provide guidance to how these patients will be cared for from a Nursing perspective, the additional workforce requirements and how those Nurses will be allocated throughout the department.</w:t>
      </w:r>
    </w:p>
    <w:p w:rsidR="003E1E32" w:rsidRDefault="003E1E32" w:rsidP="003E1E32"/>
    <w:p w:rsidR="003E1E32" w:rsidRDefault="003E1E32" w:rsidP="003E1E32"/>
    <w:p w:rsidR="003E1E32" w:rsidRDefault="003E1E32" w:rsidP="003E1E32"/>
    <w:p w:rsidR="003E1E32" w:rsidRDefault="003E1E32" w:rsidP="003E1E32">
      <w:pPr>
        <w:rPr>
          <w:rFonts w:cstheme="minorHAnsi"/>
        </w:rPr>
      </w:pPr>
      <w:r>
        <w:rPr>
          <w:rFonts w:cstheme="minorHAnsi"/>
          <w:b/>
        </w:rPr>
        <w:t>Secondary assessment</w:t>
      </w:r>
    </w:p>
    <w:p w:rsidR="003E1E32" w:rsidRDefault="003E1E32" w:rsidP="003E1E32">
      <w:pPr>
        <w:rPr>
          <w:rFonts w:cstheme="minorHAnsi"/>
        </w:rPr>
      </w:pPr>
    </w:p>
    <w:p w:rsidR="003E1E32" w:rsidRDefault="003E1E32" w:rsidP="003E1E32">
      <w:pPr>
        <w:rPr>
          <w:rFonts w:cstheme="minorHAnsi"/>
        </w:rPr>
      </w:pPr>
      <w:r>
        <w:rPr>
          <w:rFonts w:cstheme="minorHAnsi"/>
        </w:rPr>
        <w:t xml:space="preserve">Following on from a </w:t>
      </w:r>
      <w:proofErr w:type="gramStart"/>
      <w:r>
        <w:rPr>
          <w:rFonts w:cstheme="minorHAnsi"/>
        </w:rPr>
        <w:t>patients</w:t>
      </w:r>
      <w:proofErr w:type="gramEnd"/>
      <w:r>
        <w:rPr>
          <w:rFonts w:cstheme="minorHAnsi"/>
        </w:rPr>
        <w:t xml:space="preserve"> arrival and initial assessment, Patients are formally seen and clerked in chronological order by the junior and/or Middle grade doctors on the shop-floor depending on clinical need.</w:t>
      </w:r>
    </w:p>
    <w:p w:rsidR="003E1E32" w:rsidRDefault="003E1E32" w:rsidP="003E1E32">
      <w:pPr>
        <w:rPr>
          <w:rFonts w:cstheme="minorHAnsi"/>
        </w:rPr>
      </w:pPr>
    </w:p>
    <w:p w:rsidR="003E1E32" w:rsidRDefault="003E1E32" w:rsidP="003E1E32">
      <w:pPr>
        <w:numPr>
          <w:ilvl w:val="0"/>
          <w:numId w:val="59"/>
        </w:numPr>
        <w:rPr>
          <w:rFonts w:cstheme="minorHAnsi"/>
        </w:rPr>
      </w:pPr>
      <w:r>
        <w:rPr>
          <w:rFonts w:cstheme="minorHAnsi"/>
        </w:rPr>
        <w:t>The doctor / ACP doing the second assessment picks up the ED card from the ‘Majors’ box based on clinical need, then in Chronological order.</w:t>
      </w:r>
    </w:p>
    <w:p w:rsidR="003E1E32" w:rsidRDefault="003E1E32" w:rsidP="003E1E32">
      <w:pPr>
        <w:numPr>
          <w:ilvl w:val="0"/>
          <w:numId w:val="59"/>
        </w:numPr>
        <w:rPr>
          <w:rFonts w:cstheme="minorHAnsi"/>
        </w:rPr>
      </w:pPr>
      <w:r>
        <w:rPr>
          <w:rFonts w:cstheme="minorHAnsi"/>
        </w:rPr>
        <w:t>They book the patient under their name on Medway as ‘Responsible Clinician’.</w:t>
      </w:r>
    </w:p>
    <w:p w:rsidR="003E1E32" w:rsidRDefault="003E1E32" w:rsidP="003E1E32">
      <w:pPr>
        <w:numPr>
          <w:ilvl w:val="0"/>
          <w:numId w:val="59"/>
        </w:numPr>
        <w:rPr>
          <w:rFonts w:cstheme="minorHAnsi"/>
        </w:rPr>
      </w:pPr>
      <w:r>
        <w:rPr>
          <w:rFonts w:cstheme="minorHAnsi"/>
        </w:rPr>
        <w:t>After taking the detailed but relevant history and performing appropriate physical examination, further plan of action is decided after discussion with the Middle-Grade or Consultant on the shop-floor.</w:t>
      </w:r>
    </w:p>
    <w:p w:rsidR="003E1E32" w:rsidRDefault="003E1E32" w:rsidP="003E1E32">
      <w:pPr>
        <w:numPr>
          <w:ilvl w:val="0"/>
          <w:numId w:val="59"/>
        </w:numPr>
        <w:rPr>
          <w:rFonts w:cstheme="minorHAnsi"/>
        </w:rPr>
      </w:pPr>
      <w:r>
        <w:rPr>
          <w:rFonts w:cstheme="minorHAnsi"/>
        </w:rPr>
        <w:t>If any more investigation is deemed necessary, the junior doctors should first discuss the patient with the senior doctor on the shop-floor in order to avoid unnecessary investigation.</w:t>
      </w:r>
    </w:p>
    <w:p w:rsidR="003E1E32" w:rsidRDefault="003E1E32" w:rsidP="003E1E32">
      <w:pPr>
        <w:numPr>
          <w:ilvl w:val="0"/>
          <w:numId w:val="59"/>
        </w:numPr>
        <w:rPr>
          <w:rFonts w:cstheme="minorHAnsi"/>
        </w:rPr>
      </w:pPr>
      <w:r>
        <w:rPr>
          <w:rFonts w:cstheme="minorHAnsi"/>
        </w:rPr>
        <w:t>All the FY-2 and GP Trainee doctors must discuss their patients with the seniors before referring to a specialty or discharging their patients. The name of the senior doctor must be clearly documented in the ED notes.</w:t>
      </w:r>
    </w:p>
    <w:p w:rsidR="003E1E32" w:rsidRDefault="003E1E32" w:rsidP="003E1E32">
      <w:pPr>
        <w:numPr>
          <w:ilvl w:val="0"/>
          <w:numId w:val="59"/>
        </w:numPr>
        <w:rPr>
          <w:rFonts w:cstheme="minorHAnsi"/>
        </w:rPr>
      </w:pPr>
      <w:r>
        <w:rPr>
          <w:rFonts w:cstheme="minorHAnsi"/>
        </w:rPr>
        <w:t>Every patient seen by an FY-1 doctor must be physically seen (not just discussed with) by a senior doctor. The senior doctor should sign and date in the ‘Senior Review’ box of the ED card.</w:t>
      </w:r>
    </w:p>
    <w:p w:rsidR="003E1E32" w:rsidRDefault="003E1E32" w:rsidP="003E1E32">
      <w:pPr>
        <w:numPr>
          <w:ilvl w:val="0"/>
          <w:numId w:val="59"/>
        </w:numPr>
        <w:rPr>
          <w:rFonts w:cstheme="minorHAnsi"/>
        </w:rPr>
      </w:pPr>
      <w:r>
        <w:rPr>
          <w:rFonts w:cstheme="minorHAnsi"/>
        </w:rPr>
        <w:t>Any further treatment (medications etc.) must be prescribed in the ED card, timed, dated and signed according to the Trust’s prescription policy.</w:t>
      </w:r>
    </w:p>
    <w:p w:rsidR="003E1E32" w:rsidRDefault="003E1E32" w:rsidP="003E1E32">
      <w:pPr>
        <w:numPr>
          <w:ilvl w:val="0"/>
          <w:numId w:val="59"/>
        </w:numPr>
        <w:rPr>
          <w:rFonts w:cstheme="minorHAnsi"/>
        </w:rPr>
      </w:pPr>
      <w:r>
        <w:rPr>
          <w:rFonts w:cstheme="minorHAnsi"/>
        </w:rPr>
        <w:t xml:space="preserve">Medications such as morphine should be clearly prescribed as ‘Morphine sulphate 1-10 mg titrated </w:t>
      </w:r>
      <w:proofErr w:type="spellStart"/>
      <w:r>
        <w:rPr>
          <w:rFonts w:cstheme="minorHAnsi"/>
        </w:rPr>
        <w:t>i.v.</w:t>
      </w:r>
      <w:proofErr w:type="spellEnd"/>
      <w:r>
        <w:rPr>
          <w:rFonts w:cstheme="minorHAnsi"/>
        </w:rPr>
        <w:t xml:space="preserve">’ </w:t>
      </w:r>
    </w:p>
    <w:p w:rsidR="003E1E32" w:rsidRDefault="003E1E32" w:rsidP="003E1E32">
      <w:pPr>
        <w:numPr>
          <w:ilvl w:val="0"/>
          <w:numId w:val="59"/>
        </w:numPr>
        <w:rPr>
          <w:rFonts w:cstheme="minorHAnsi"/>
        </w:rPr>
      </w:pPr>
      <w:r>
        <w:rPr>
          <w:rFonts w:cstheme="minorHAnsi"/>
        </w:rPr>
        <w:lastRenderedPageBreak/>
        <w:t>Referral to the specialties should be ideally be made by 2 of patients’ arrival. The ‘Decision to Admit’ (DTA) time should be clearly mentioned in the ED notes as well as on Medway. The NIC should also be informed at the same time, so that they can request a bed for the patient via the Operations teams on appropriate ward.</w:t>
      </w:r>
    </w:p>
    <w:p w:rsidR="003E1E32" w:rsidRDefault="003E1E32" w:rsidP="003E1E32">
      <w:pPr>
        <w:numPr>
          <w:ilvl w:val="0"/>
          <w:numId w:val="59"/>
        </w:numPr>
        <w:rPr>
          <w:rFonts w:cstheme="minorHAnsi"/>
        </w:rPr>
      </w:pPr>
      <w:r>
        <w:rPr>
          <w:rFonts w:cstheme="minorHAnsi"/>
        </w:rPr>
        <w:t xml:space="preserve">All patients (admitted or discharged) must have their discharge summary written and coding completed on Medway at the same time as when the decision is made. </w:t>
      </w:r>
    </w:p>
    <w:p w:rsidR="003E1E32" w:rsidRDefault="003E1E32" w:rsidP="003E1E32">
      <w:pPr>
        <w:numPr>
          <w:ilvl w:val="0"/>
          <w:numId w:val="59"/>
        </w:numPr>
        <w:rPr>
          <w:rFonts w:cstheme="minorHAnsi"/>
        </w:rPr>
      </w:pPr>
      <w:r>
        <w:rPr>
          <w:rFonts w:cstheme="minorHAnsi"/>
        </w:rPr>
        <w:t xml:space="preserve">It is sometimes prudent to print a copy of the GP letter and hand it over to the patients before discharging them, if they are from out of the County or if they are not registered with their GP yet. </w:t>
      </w:r>
    </w:p>
    <w:p w:rsidR="003E1E32" w:rsidRDefault="003E1E32" w:rsidP="003E1E32">
      <w:pPr>
        <w:numPr>
          <w:ilvl w:val="0"/>
          <w:numId w:val="59"/>
        </w:numPr>
        <w:rPr>
          <w:rFonts w:cstheme="minorHAnsi"/>
        </w:rPr>
      </w:pPr>
      <w:r>
        <w:rPr>
          <w:rFonts w:cstheme="minorHAnsi"/>
        </w:rPr>
        <w:t xml:space="preserve">Patients must be reviewed by the other specialties within 30 minutes of the referral. </w:t>
      </w:r>
    </w:p>
    <w:p w:rsidR="003E1E32" w:rsidRDefault="003E1E32" w:rsidP="003E1E32">
      <w:pPr>
        <w:numPr>
          <w:ilvl w:val="0"/>
          <w:numId w:val="59"/>
        </w:numPr>
        <w:rPr>
          <w:rFonts w:cstheme="minorHAnsi"/>
        </w:rPr>
      </w:pPr>
      <w:r>
        <w:rPr>
          <w:rFonts w:cstheme="minorHAnsi"/>
        </w:rPr>
        <w:t>Any delay with a speciality response must be escalated to the EPIC who will then contact the Speciality Consultant directly as per Inter-professional Guidelines.</w:t>
      </w:r>
    </w:p>
    <w:p w:rsidR="003E1E32" w:rsidRDefault="003E1E32" w:rsidP="003E1E32">
      <w:pPr>
        <w:numPr>
          <w:ilvl w:val="0"/>
          <w:numId w:val="59"/>
        </w:numPr>
        <w:rPr>
          <w:rFonts w:cstheme="minorHAnsi"/>
        </w:rPr>
      </w:pPr>
      <w:r>
        <w:rPr>
          <w:rFonts w:cstheme="minorHAnsi"/>
        </w:rPr>
        <w:t>Patients deemed to have predominantly social problems after reasonable assessment to rule out any acute ‘Medical’ cause for their attendance should be referred to the Community in-Reach (CIR) Team. These patients must have ‘Medically Fit for Discharge’ clearly documented in their ED notes. If these patients need to stay in the hospital overnight to be reviewed by CIR team the next morning, following must be completed…</w:t>
      </w:r>
    </w:p>
    <w:p w:rsidR="003E1E32" w:rsidRDefault="003E1E32" w:rsidP="003E1E32">
      <w:pPr>
        <w:numPr>
          <w:ilvl w:val="1"/>
          <w:numId w:val="59"/>
        </w:numPr>
        <w:rPr>
          <w:rFonts w:cstheme="minorHAnsi"/>
        </w:rPr>
      </w:pPr>
      <w:r>
        <w:rPr>
          <w:rFonts w:cstheme="minorHAnsi"/>
        </w:rPr>
        <w:t>All investigation reports (blood tests, imaging) must be documented in the ED notes</w:t>
      </w:r>
    </w:p>
    <w:p w:rsidR="003E1E32" w:rsidRDefault="003E1E32" w:rsidP="003E1E32">
      <w:pPr>
        <w:numPr>
          <w:ilvl w:val="1"/>
          <w:numId w:val="59"/>
        </w:numPr>
        <w:rPr>
          <w:rFonts w:cstheme="minorHAnsi"/>
        </w:rPr>
      </w:pPr>
      <w:r>
        <w:rPr>
          <w:rFonts w:cstheme="minorHAnsi"/>
        </w:rPr>
        <w:t>Their Drug Chart must be completed</w:t>
      </w:r>
    </w:p>
    <w:p w:rsidR="003E1E32" w:rsidRDefault="003E1E32" w:rsidP="003E1E32">
      <w:pPr>
        <w:numPr>
          <w:ilvl w:val="1"/>
          <w:numId w:val="59"/>
        </w:numPr>
        <w:rPr>
          <w:rFonts w:cstheme="minorHAnsi"/>
        </w:rPr>
      </w:pPr>
      <w:r>
        <w:rPr>
          <w:rFonts w:cstheme="minorHAnsi"/>
        </w:rPr>
        <w:t>Wherever appropriate, VTE assessment must be completed and form kept in the notes</w:t>
      </w:r>
    </w:p>
    <w:p w:rsidR="003E1E32" w:rsidRDefault="003E1E32" w:rsidP="003E1E32">
      <w:pPr>
        <w:numPr>
          <w:ilvl w:val="1"/>
          <w:numId w:val="59"/>
        </w:numPr>
        <w:rPr>
          <w:rFonts w:cstheme="minorHAnsi"/>
        </w:rPr>
      </w:pPr>
      <w:r>
        <w:rPr>
          <w:rFonts w:cstheme="minorHAnsi"/>
        </w:rPr>
        <w:t xml:space="preserve">Medical SHO must be informed about the patient  </w:t>
      </w:r>
    </w:p>
    <w:p w:rsidR="003E1E32" w:rsidRDefault="003E1E32" w:rsidP="003E1E32">
      <w:pPr>
        <w:rPr>
          <w:rFonts w:cstheme="minorHAnsi"/>
        </w:rPr>
      </w:pPr>
      <w:r>
        <w:rPr>
          <w:rFonts w:cstheme="minorHAnsi"/>
        </w:rPr>
        <w:t xml:space="preserve">                                                                                                                                                                                                   </w:t>
      </w:r>
    </w:p>
    <w:p w:rsidR="003E1E32" w:rsidRDefault="003E1E32" w:rsidP="003E1E32">
      <w:pPr>
        <w:rPr>
          <w:rFonts w:cstheme="minorHAnsi"/>
          <w:b/>
        </w:rPr>
      </w:pPr>
      <w:r>
        <w:rPr>
          <w:rFonts w:cstheme="minorHAnsi"/>
          <w:b/>
        </w:rPr>
        <w:t xml:space="preserve">The Emergency Physician </w:t>
      </w:r>
      <w:proofErr w:type="gramStart"/>
      <w:r>
        <w:rPr>
          <w:rFonts w:cstheme="minorHAnsi"/>
          <w:b/>
        </w:rPr>
        <w:t>In</w:t>
      </w:r>
      <w:proofErr w:type="gramEnd"/>
      <w:r>
        <w:rPr>
          <w:rFonts w:cstheme="minorHAnsi"/>
          <w:b/>
        </w:rPr>
        <w:t xml:space="preserve"> Charge (EPIC)</w:t>
      </w:r>
    </w:p>
    <w:p w:rsidR="003E1E32" w:rsidRDefault="003E1E32" w:rsidP="003E1E32">
      <w:pPr>
        <w:rPr>
          <w:rFonts w:cstheme="minorHAnsi"/>
        </w:rPr>
      </w:pPr>
    </w:p>
    <w:p w:rsidR="003E1E32" w:rsidRDefault="003E1E32" w:rsidP="003E1E32">
      <w:pPr>
        <w:rPr>
          <w:rFonts w:cstheme="minorHAnsi"/>
        </w:rPr>
      </w:pPr>
      <w:r>
        <w:rPr>
          <w:rFonts w:cstheme="minorHAnsi"/>
        </w:rPr>
        <w:t>The EPIC will provide overall senior clinical leadership to the Emergency Department, thus ensuring:</w:t>
      </w:r>
    </w:p>
    <w:p w:rsidR="003E1E32" w:rsidRDefault="003E1E32" w:rsidP="003E1E32">
      <w:pPr>
        <w:rPr>
          <w:rFonts w:cstheme="minorHAnsi"/>
        </w:rPr>
      </w:pPr>
    </w:p>
    <w:p w:rsidR="003E1E32" w:rsidRDefault="003E1E32" w:rsidP="003E1E32">
      <w:pPr>
        <w:pStyle w:val="ListParagraph"/>
        <w:numPr>
          <w:ilvl w:val="0"/>
          <w:numId w:val="60"/>
        </w:numPr>
        <w:spacing w:line="276" w:lineRule="auto"/>
        <w:jc w:val="both"/>
        <w:rPr>
          <w:rFonts w:cstheme="minorHAnsi"/>
        </w:rPr>
      </w:pPr>
      <w:r>
        <w:rPr>
          <w:rFonts w:cstheme="minorHAnsi"/>
        </w:rPr>
        <w:t>Delivery of safe and effective care for all patients</w:t>
      </w:r>
    </w:p>
    <w:p w:rsidR="003E1E32" w:rsidRDefault="003E1E32" w:rsidP="003E1E32">
      <w:pPr>
        <w:pStyle w:val="ListParagraph"/>
        <w:numPr>
          <w:ilvl w:val="0"/>
          <w:numId w:val="60"/>
        </w:numPr>
        <w:spacing w:line="276" w:lineRule="auto"/>
        <w:jc w:val="both"/>
        <w:rPr>
          <w:rFonts w:cstheme="minorHAnsi"/>
        </w:rPr>
      </w:pPr>
      <w:r>
        <w:rPr>
          <w:rFonts w:cstheme="minorHAnsi"/>
        </w:rPr>
        <w:t>Performance Standards are met</w:t>
      </w:r>
    </w:p>
    <w:p w:rsidR="003E1E32" w:rsidRDefault="003E1E32" w:rsidP="003E1E32">
      <w:pPr>
        <w:pStyle w:val="ListParagraph"/>
        <w:numPr>
          <w:ilvl w:val="0"/>
          <w:numId w:val="60"/>
        </w:numPr>
        <w:spacing w:line="276" w:lineRule="auto"/>
        <w:jc w:val="both"/>
        <w:rPr>
          <w:rFonts w:cstheme="minorHAnsi"/>
        </w:rPr>
      </w:pPr>
      <w:r>
        <w:rPr>
          <w:rFonts w:cstheme="minorHAnsi"/>
        </w:rPr>
        <w:t>Staff wellbeing</w:t>
      </w:r>
    </w:p>
    <w:p w:rsidR="003E1E32" w:rsidRDefault="003E1E32" w:rsidP="003E1E32">
      <w:pPr>
        <w:pStyle w:val="ListParagraph"/>
        <w:numPr>
          <w:ilvl w:val="0"/>
          <w:numId w:val="60"/>
        </w:numPr>
        <w:spacing w:line="276" w:lineRule="auto"/>
        <w:jc w:val="both"/>
        <w:rPr>
          <w:rFonts w:cstheme="minorHAnsi"/>
        </w:rPr>
      </w:pPr>
      <w:r>
        <w:rPr>
          <w:rFonts w:cstheme="minorHAnsi"/>
        </w:rPr>
        <w:t>Appropriate teaching / mentor support</w:t>
      </w:r>
    </w:p>
    <w:p w:rsidR="003E1E32" w:rsidRDefault="003E1E32" w:rsidP="003E1E32">
      <w:pPr>
        <w:pStyle w:val="ListParagraph"/>
        <w:numPr>
          <w:ilvl w:val="0"/>
          <w:numId w:val="60"/>
        </w:numPr>
        <w:spacing w:line="276" w:lineRule="auto"/>
        <w:jc w:val="both"/>
        <w:rPr>
          <w:rFonts w:cstheme="minorHAnsi"/>
        </w:rPr>
      </w:pPr>
      <w:r>
        <w:rPr>
          <w:rFonts w:cstheme="minorHAnsi"/>
        </w:rPr>
        <w:t>Definitive clinical judgement</w:t>
      </w:r>
    </w:p>
    <w:p w:rsidR="003E1E32" w:rsidRDefault="003E1E32" w:rsidP="003E1E32">
      <w:pPr>
        <w:pStyle w:val="ListParagraph"/>
        <w:numPr>
          <w:ilvl w:val="0"/>
          <w:numId w:val="60"/>
        </w:numPr>
        <w:spacing w:line="276" w:lineRule="auto"/>
        <w:jc w:val="both"/>
        <w:rPr>
          <w:rFonts w:cstheme="minorHAnsi"/>
        </w:rPr>
      </w:pPr>
      <w:r>
        <w:rPr>
          <w:rFonts w:cstheme="minorHAnsi"/>
        </w:rPr>
        <w:t>Senior medical liaison</w:t>
      </w:r>
    </w:p>
    <w:p w:rsidR="003E1E32" w:rsidRDefault="003E1E32" w:rsidP="003E1E32">
      <w:pPr>
        <w:pStyle w:val="ListParagraph"/>
        <w:numPr>
          <w:ilvl w:val="0"/>
          <w:numId w:val="60"/>
        </w:numPr>
        <w:spacing w:line="276" w:lineRule="auto"/>
        <w:jc w:val="both"/>
        <w:rPr>
          <w:rFonts w:cstheme="minorHAnsi"/>
        </w:rPr>
      </w:pPr>
      <w:r>
        <w:rPr>
          <w:rFonts w:cstheme="minorHAnsi"/>
        </w:rPr>
        <w:t>Role modelling of Trust values and behaviours</w:t>
      </w:r>
    </w:p>
    <w:p w:rsidR="003E1E32" w:rsidRDefault="003E1E32" w:rsidP="003E1E32">
      <w:pPr>
        <w:rPr>
          <w:rFonts w:cstheme="minorHAnsi"/>
        </w:rPr>
      </w:pPr>
    </w:p>
    <w:p w:rsidR="003E1E32" w:rsidRDefault="003E1E32" w:rsidP="003E1E32">
      <w:pPr>
        <w:rPr>
          <w:rFonts w:cstheme="minorHAnsi"/>
        </w:rPr>
      </w:pPr>
      <w:r>
        <w:rPr>
          <w:rFonts w:cstheme="minorHAnsi"/>
        </w:rPr>
        <w:t xml:space="preserve">Who can undertake the </w:t>
      </w:r>
      <w:proofErr w:type="gramStart"/>
      <w:r>
        <w:rPr>
          <w:rFonts w:cstheme="minorHAnsi"/>
        </w:rPr>
        <w:t>role</w:t>
      </w:r>
      <w:proofErr w:type="gramEnd"/>
    </w:p>
    <w:p w:rsidR="003E1E32" w:rsidRDefault="003E1E32" w:rsidP="003E1E32">
      <w:pPr>
        <w:numPr>
          <w:ilvl w:val="0"/>
          <w:numId w:val="61"/>
        </w:numPr>
        <w:rPr>
          <w:rFonts w:cstheme="minorHAnsi"/>
        </w:rPr>
      </w:pPr>
      <w:r>
        <w:rPr>
          <w:rFonts w:cstheme="minorHAnsi"/>
        </w:rPr>
        <w:t>Senior Middle-grade (ST4 equivalent or above)</w:t>
      </w:r>
    </w:p>
    <w:p w:rsidR="003E1E32" w:rsidRDefault="003E1E32" w:rsidP="003E1E32">
      <w:pPr>
        <w:numPr>
          <w:ilvl w:val="0"/>
          <w:numId w:val="61"/>
        </w:numPr>
        <w:rPr>
          <w:rFonts w:cstheme="minorHAnsi"/>
        </w:rPr>
      </w:pPr>
      <w:r>
        <w:rPr>
          <w:rFonts w:cstheme="minorHAnsi"/>
        </w:rPr>
        <w:t>There will be a named EPIC at all times. This will be indicated on the Allocation sheet</w:t>
      </w:r>
    </w:p>
    <w:p w:rsidR="003E1E32" w:rsidRDefault="003E1E32" w:rsidP="003E1E32">
      <w:pPr>
        <w:rPr>
          <w:rFonts w:cstheme="minorHAnsi"/>
        </w:rPr>
      </w:pPr>
    </w:p>
    <w:p w:rsidR="003E1E32" w:rsidRDefault="003E1E32" w:rsidP="003E1E32">
      <w:pPr>
        <w:rPr>
          <w:rFonts w:cstheme="minorHAnsi"/>
        </w:rPr>
      </w:pPr>
      <w:r>
        <w:rPr>
          <w:rFonts w:cstheme="minorHAnsi"/>
        </w:rPr>
        <w:lastRenderedPageBreak/>
        <w:t>Base</w:t>
      </w:r>
    </w:p>
    <w:p w:rsidR="003E1E32" w:rsidRDefault="003E1E32" w:rsidP="003E1E32">
      <w:pPr>
        <w:numPr>
          <w:ilvl w:val="0"/>
          <w:numId w:val="62"/>
        </w:numPr>
        <w:rPr>
          <w:rFonts w:cstheme="minorHAnsi"/>
        </w:rPr>
      </w:pPr>
      <w:r>
        <w:rPr>
          <w:rFonts w:cstheme="minorHAnsi"/>
        </w:rPr>
        <w:t>Majors area of the Emergency Department</w:t>
      </w:r>
    </w:p>
    <w:p w:rsidR="003E1E32" w:rsidRDefault="003E1E32" w:rsidP="003E1E32">
      <w:pPr>
        <w:rPr>
          <w:rFonts w:cstheme="minorHAnsi"/>
        </w:rPr>
      </w:pPr>
    </w:p>
    <w:p w:rsidR="003E1E32" w:rsidRDefault="003E1E32" w:rsidP="003E1E32">
      <w:pPr>
        <w:rPr>
          <w:rFonts w:cstheme="minorHAnsi"/>
        </w:rPr>
      </w:pPr>
      <w:r>
        <w:rPr>
          <w:rFonts w:cstheme="minorHAnsi"/>
        </w:rPr>
        <w:t>Key Relationships</w:t>
      </w:r>
    </w:p>
    <w:p w:rsidR="003E1E32" w:rsidRDefault="003E1E32" w:rsidP="003E1E32">
      <w:pPr>
        <w:numPr>
          <w:ilvl w:val="0"/>
          <w:numId w:val="62"/>
        </w:numPr>
        <w:rPr>
          <w:rFonts w:cstheme="minorHAnsi"/>
        </w:rPr>
      </w:pPr>
      <w:r>
        <w:rPr>
          <w:rFonts w:cstheme="minorHAnsi"/>
        </w:rPr>
        <w:t>ED NIC</w:t>
      </w:r>
    </w:p>
    <w:p w:rsidR="003E1E32" w:rsidRDefault="003E1E32" w:rsidP="003E1E32">
      <w:pPr>
        <w:numPr>
          <w:ilvl w:val="0"/>
          <w:numId w:val="62"/>
        </w:numPr>
        <w:rPr>
          <w:rFonts w:cstheme="minorHAnsi"/>
        </w:rPr>
      </w:pPr>
      <w:r>
        <w:rPr>
          <w:rFonts w:cstheme="minorHAnsi"/>
        </w:rPr>
        <w:t>ED medical staff</w:t>
      </w:r>
    </w:p>
    <w:p w:rsidR="003E1E32" w:rsidRDefault="003E1E32" w:rsidP="003E1E32">
      <w:pPr>
        <w:numPr>
          <w:ilvl w:val="0"/>
          <w:numId w:val="62"/>
        </w:numPr>
        <w:rPr>
          <w:rFonts w:cstheme="minorHAnsi"/>
        </w:rPr>
      </w:pPr>
      <w:r>
        <w:rPr>
          <w:rFonts w:cstheme="minorHAnsi"/>
        </w:rPr>
        <w:t>ED senior nursing staff</w:t>
      </w:r>
    </w:p>
    <w:p w:rsidR="003E1E32" w:rsidRDefault="003E1E32" w:rsidP="003E1E32">
      <w:pPr>
        <w:numPr>
          <w:ilvl w:val="0"/>
          <w:numId w:val="62"/>
        </w:numPr>
        <w:rPr>
          <w:rFonts w:cstheme="minorHAnsi"/>
        </w:rPr>
      </w:pPr>
      <w:r>
        <w:rPr>
          <w:rFonts w:cstheme="minorHAnsi"/>
        </w:rPr>
        <w:t>Operational management team</w:t>
      </w:r>
    </w:p>
    <w:p w:rsidR="003E1E32" w:rsidRDefault="003E1E32" w:rsidP="003E1E32">
      <w:pPr>
        <w:numPr>
          <w:ilvl w:val="0"/>
          <w:numId w:val="62"/>
        </w:numPr>
        <w:rPr>
          <w:rFonts w:cstheme="minorHAnsi"/>
        </w:rPr>
      </w:pPr>
      <w:r>
        <w:rPr>
          <w:rFonts w:cstheme="minorHAnsi"/>
        </w:rPr>
        <w:t>In-patient Specialty teams</w:t>
      </w:r>
    </w:p>
    <w:p w:rsidR="003E1E32" w:rsidRDefault="003E1E32" w:rsidP="003E1E32">
      <w:pPr>
        <w:numPr>
          <w:ilvl w:val="0"/>
          <w:numId w:val="62"/>
        </w:numPr>
        <w:rPr>
          <w:rFonts w:cstheme="minorHAnsi"/>
        </w:rPr>
      </w:pPr>
      <w:r>
        <w:rPr>
          <w:rFonts w:cstheme="minorHAnsi"/>
        </w:rPr>
        <w:t>Senior management team</w:t>
      </w:r>
    </w:p>
    <w:p w:rsidR="003E1E32" w:rsidRDefault="003E1E32" w:rsidP="003E1E32">
      <w:pPr>
        <w:rPr>
          <w:rFonts w:cstheme="minorHAnsi"/>
        </w:rPr>
      </w:pPr>
    </w:p>
    <w:p w:rsidR="003E1E32" w:rsidRDefault="003E1E32" w:rsidP="003E1E32">
      <w:pPr>
        <w:rPr>
          <w:rFonts w:cstheme="minorHAnsi"/>
        </w:rPr>
      </w:pPr>
      <w:r>
        <w:rPr>
          <w:rFonts w:cstheme="minorHAnsi"/>
        </w:rPr>
        <w:t>Responsibilities</w:t>
      </w:r>
    </w:p>
    <w:p w:rsidR="003E1E32" w:rsidRDefault="003E1E32" w:rsidP="003E1E32">
      <w:pPr>
        <w:rPr>
          <w:rFonts w:cstheme="minorHAnsi"/>
        </w:rPr>
      </w:pPr>
    </w:p>
    <w:p w:rsidR="003E1E32" w:rsidRDefault="003E1E32" w:rsidP="003E1E32">
      <w:pPr>
        <w:rPr>
          <w:rFonts w:cstheme="minorHAnsi"/>
        </w:rPr>
      </w:pPr>
      <w:r>
        <w:rPr>
          <w:rFonts w:cstheme="minorHAnsi"/>
        </w:rPr>
        <w:t>Overall senior clinical responsibility for the entire Emergency Department to ensure safety, flow and performance. This will be achieved by…</w:t>
      </w:r>
    </w:p>
    <w:p w:rsidR="003E1E32" w:rsidRDefault="003E1E32" w:rsidP="003E1E32">
      <w:pPr>
        <w:rPr>
          <w:rFonts w:cstheme="minorHAnsi"/>
        </w:rPr>
      </w:pPr>
    </w:p>
    <w:p w:rsidR="003E1E32" w:rsidRDefault="003E1E32" w:rsidP="003E1E32">
      <w:pPr>
        <w:rPr>
          <w:rFonts w:cstheme="minorHAnsi"/>
        </w:rPr>
      </w:pPr>
      <w:r>
        <w:rPr>
          <w:rFonts w:cstheme="minorHAnsi"/>
        </w:rPr>
        <w:t>Patient Safety</w:t>
      </w:r>
    </w:p>
    <w:p w:rsidR="003E1E32" w:rsidRDefault="003E1E32" w:rsidP="003E1E32">
      <w:pPr>
        <w:pStyle w:val="ListParagraph"/>
        <w:numPr>
          <w:ilvl w:val="0"/>
          <w:numId w:val="63"/>
        </w:numPr>
        <w:spacing w:line="276" w:lineRule="auto"/>
        <w:rPr>
          <w:rFonts w:cstheme="minorHAnsi"/>
        </w:rPr>
      </w:pPr>
      <w:r>
        <w:rPr>
          <w:rFonts w:cstheme="minorHAnsi"/>
        </w:rPr>
        <w:t>Act as the resident clinical expert in support of junior medical staff/ACPs ensuring reviews are documented contemporaneously</w:t>
      </w:r>
    </w:p>
    <w:p w:rsidR="003E1E32" w:rsidRDefault="003E1E32" w:rsidP="003E1E32">
      <w:pPr>
        <w:pStyle w:val="ListParagraph"/>
        <w:numPr>
          <w:ilvl w:val="0"/>
          <w:numId w:val="63"/>
        </w:numPr>
        <w:spacing w:line="276" w:lineRule="auto"/>
        <w:rPr>
          <w:rFonts w:cstheme="minorHAnsi"/>
        </w:rPr>
      </w:pPr>
      <w:r>
        <w:rPr>
          <w:rFonts w:cstheme="minorHAnsi"/>
        </w:rPr>
        <w:t xml:space="preserve">To provide direct clinical input into all priority and </w:t>
      </w:r>
      <w:proofErr w:type="spellStart"/>
      <w:r>
        <w:rPr>
          <w:rFonts w:cstheme="minorHAnsi"/>
        </w:rPr>
        <w:t>resus</w:t>
      </w:r>
      <w:proofErr w:type="spellEnd"/>
      <w:r>
        <w:rPr>
          <w:rFonts w:cstheme="minorHAnsi"/>
        </w:rPr>
        <w:t xml:space="preserve"> patients</w:t>
      </w:r>
    </w:p>
    <w:p w:rsidR="003E1E32" w:rsidRDefault="003E1E32" w:rsidP="003E1E32">
      <w:pPr>
        <w:pStyle w:val="ListParagraph"/>
        <w:numPr>
          <w:ilvl w:val="0"/>
          <w:numId w:val="63"/>
        </w:numPr>
        <w:spacing w:line="276" w:lineRule="auto"/>
        <w:rPr>
          <w:rFonts w:cstheme="minorHAnsi"/>
        </w:rPr>
      </w:pPr>
      <w:r>
        <w:rPr>
          <w:rFonts w:cstheme="minorHAnsi"/>
        </w:rPr>
        <w:t>Regular clinical liaison (two hourly) with the NIC to review the department in terms of safety, flow and escalation requirements</w:t>
      </w:r>
    </w:p>
    <w:p w:rsidR="003E1E32" w:rsidRDefault="003E1E32" w:rsidP="003E1E32">
      <w:pPr>
        <w:pStyle w:val="ListParagraph"/>
        <w:numPr>
          <w:ilvl w:val="0"/>
          <w:numId w:val="63"/>
        </w:numPr>
        <w:spacing w:line="276" w:lineRule="auto"/>
        <w:rPr>
          <w:rFonts w:cstheme="minorHAnsi"/>
        </w:rPr>
      </w:pPr>
      <w:r>
        <w:rPr>
          <w:rFonts w:cstheme="minorHAnsi"/>
        </w:rPr>
        <w:t>To ensure staff adhere to the appropriate tools and triggers as per the Escalation Policy when the Emergency Department is under significant pressure</w:t>
      </w:r>
    </w:p>
    <w:p w:rsidR="003E1E32" w:rsidRDefault="003E1E32" w:rsidP="003E1E32">
      <w:pPr>
        <w:pStyle w:val="ListParagraph"/>
        <w:numPr>
          <w:ilvl w:val="0"/>
          <w:numId w:val="63"/>
        </w:numPr>
        <w:spacing w:line="276" w:lineRule="auto"/>
        <w:rPr>
          <w:rFonts w:cstheme="minorHAnsi"/>
        </w:rPr>
      </w:pPr>
      <w:r>
        <w:rPr>
          <w:rFonts w:cstheme="minorHAnsi"/>
        </w:rPr>
        <w:t>Take overall responsibility for review and interpretation of clinical interventions including sign off all ECG’s and blood gases performed on patients in the Majors area</w:t>
      </w:r>
    </w:p>
    <w:p w:rsidR="003E1E32" w:rsidRDefault="003E1E32" w:rsidP="003E1E32">
      <w:pPr>
        <w:pStyle w:val="ListParagraph"/>
        <w:ind w:left="1080"/>
        <w:rPr>
          <w:rFonts w:cstheme="minorHAnsi"/>
        </w:rPr>
      </w:pPr>
    </w:p>
    <w:p w:rsidR="003E1E32" w:rsidRDefault="003E1E32" w:rsidP="003E1E32">
      <w:pPr>
        <w:rPr>
          <w:rFonts w:cstheme="minorHAnsi"/>
        </w:rPr>
      </w:pPr>
      <w:r>
        <w:rPr>
          <w:rFonts w:cstheme="minorHAnsi"/>
        </w:rPr>
        <w:t>Effective patient flow</w:t>
      </w:r>
    </w:p>
    <w:p w:rsidR="003E1E32" w:rsidRDefault="003E1E32" w:rsidP="003E1E32">
      <w:pPr>
        <w:pStyle w:val="ListParagraph"/>
        <w:numPr>
          <w:ilvl w:val="0"/>
          <w:numId w:val="64"/>
        </w:numPr>
        <w:spacing w:line="276" w:lineRule="auto"/>
        <w:rPr>
          <w:rFonts w:cstheme="minorHAnsi"/>
        </w:rPr>
      </w:pPr>
      <w:r>
        <w:rPr>
          <w:rFonts w:cstheme="minorHAnsi"/>
        </w:rPr>
        <w:t>To be guided by the NIC in relation to activity within the Department</w:t>
      </w:r>
    </w:p>
    <w:p w:rsidR="003E1E32" w:rsidRDefault="003E1E32" w:rsidP="003E1E32">
      <w:pPr>
        <w:pStyle w:val="ListParagraph"/>
        <w:numPr>
          <w:ilvl w:val="0"/>
          <w:numId w:val="64"/>
        </w:numPr>
        <w:spacing w:line="276" w:lineRule="auto"/>
        <w:rPr>
          <w:rFonts w:cstheme="minorHAnsi"/>
        </w:rPr>
      </w:pPr>
      <w:r>
        <w:rPr>
          <w:rFonts w:cstheme="minorHAnsi"/>
        </w:rPr>
        <w:t>To ensure all senior clinical staff work to optimum capacity to expedite effective flow</w:t>
      </w:r>
    </w:p>
    <w:p w:rsidR="003E1E32" w:rsidRDefault="003E1E32" w:rsidP="003E1E32">
      <w:pPr>
        <w:pStyle w:val="ListParagraph"/>
        <w:numPr>
          <w:ilvl w:val="0"/>
          <w:numId w:val="64"/>
        </w:numPr>
        <w:spacing w:line="276" w:lineRule="auto"/>
        <w:rPr>
          <w:rFonts w:cstheme="minorHAnsi"/>
        </w:rPr>
      </w:pPr>
      <w:r>
        <w:rPr>
          <w:rFonts w:cstheme="minorHAnsi"/>
        </w:rPr>
        <w:t>To liaise with the in-patient specialty teams when delays have been identified in the clinical review of referred patients</w:t>
      </w:r>
    </w:p>
    <w:p w:rsidR="003E1E32" w:rsidRDefault="003E1E32" w:rsidP="003E1E32">
      <w:pPr>
        <w:pStyle w:val="ListParagraph"/>
        <w:numPr>
          <w:ilvl w:val="0"/>
          <w:numId w:val="64"/>
        </w:numPr>
        <w:spacing w:line="276" w:lineRule="auto"/>
        <w:rPr>
          <w:rFonts w:cstheme="minorHAnsi"/>
        </w:rPr>
      </w:pPr>
      <w:r>
        <w:rPr>
          <w:rFonts w:cstheme="minorHAnsi"/>
        </w:rPr>
        <w:t>To provide high level negotiation input with Specialty teams as required</w:t>
      </w:r>
    </w:p>
    <w:p w:rsidR="003E1E32" w:rsidRDefault="003E1E32" w:rsidP="003E1E32">
      <w:pPr>
        <w:pStyle w:val="ListParagraph"/>
        <w:numPr>
          <w:ilvl w:val="0"/>
          <w:numId w:val="64"/>
        </w:numPr>
        <w:spacing w:line="276" w:lineRule="auto"/>
        <w:rPr>
          <w:rFonts w:cstheme="minorHAnsi"/>
        </w:rPr>
      </w:pPr>
      <w:r>
        <w:rPr>
          <w:rFonts w:cstheme="minorHAnsi"/>
        </w:rPr>
        <w:t>To ensure any unacceptable delay is escalated to relevant peers/relevant Specialty Consultant (i.e. more than one hour)</w:t>
      </w:r>
    </w:p>
    <w:p w:rsidR="003E1E32" w:rsidRDefault="003E1E32" w:rsidP="003E1E32">
      <w:pPr>
        <w:pStyle w:val="ListParagraph"/>
        <w:numPr>
          <w:ilvl w:val="0"/>
          <w:numId w:val="64"/>
        </w:numPr>
        <w:spacing w:line="276" w:lineRule="auto"/>
        <w:rPr>
          <w:rFonts w:cstheme="minorHAnsi"/>
        </w:rPr>
      </w:pPr>
      <w:r>
        <w:rPr>
          <w:rFonts w:cstheme="minorHAnsi"/>
        </w:rPr>
        <w:t>To ensure escalation processes are adhered to at all times advising senior management of any immediate and predicted risk</w:t>
      </w:r>
    </w:p>
    <w:p w:rsidR="003E1E32" w:rsidRDefault="003E1E32" w:rsidP="003E1E32">
      <w:pPr>
        <w:rPr>
          <w:rFonts w:cstheme="minorHAnsi"/>
        </w:rPr>
      </w:pPr>
    </w:p>
    <w:p w:rsidR="003E1E32" w:rsidRDefault="003E1E32" w:rsidP="003E1E32">
      <w:pPr>
        <w:rPr>
          <w:rFonts w:cstheme="minorHAnsi"/>
        </w:rPr>
      </w:pPr>
      <w:r>
        <w:rPr>
          <w:rFonts w:cstheme="minorHAnsi"/>
        </w:rPr>
        <w:t>Staffing</w:t>
      </w:r>
    </w:p>
    <w:p w:rsidR="003E1E32" w:rsidRDefault="003E1E32" w:rsidP="003E1E32">
      <w:pPr>
        <w:pStyle w:val="ListParagraph"/>
        <w:numPr>
          <w:ilvl w:val="0"/>
          <w:numId w:val="65"/>
        </w:numPr>
        <w:spacing w:line="276" w:lineRule="auto"/>
        <w:rPr>
          <w:rFonts w:cstheme="minorHAnsi"/>
        </w:rPr>
      </w:pPr>
      <w:r>
        <w:rPr>
          <w:rFonts w:cstheme="minorHAnsi"/>
        </w:rPr>
        <w:t>To provide overall clinical leadership within the ED</w:t>
      </w:r>
    </w:p>
    <w:p w:rsidR="003E1E32" w:rsidRDefault="003E1E32" w:rsidP="003E1E32">
      <w:pPr>
        <w:pStyle w:val="ListParagraph"/>
        <w:numPr>
          <w:ilvl w:val="0"/>
          <w:numId w:val="65"/>
        </w:numPr>
        <w:spacing w:line="276" w:lineRule="auto"/>
        <w:rPr>
          <w:rFonts w:cstheme="minorHAnsi"/>
        </w:rPr>
      </w:pPr>
      <w:r>
        <w:rPr>
          <w:rFonts w:cstheme="minorHAnsi"/>
        </w:rPr>
        <w:lastRenderedPageBreak/>
        <w:t>To exemplify and champion professional behaviours within the ED team at all times</w:t>
      </w:r>
    </w:p>
    <w:p w:rsidR="003E1E32" w:rsidRDefault="003E1E32" w:rsidP="003E1E32">
      <w:pPr>
        <w:pStyle w:val="ListParagraph"/>
        <w:numPr>
          <w:ilvl w:val="0"/>
          <w:numId w:val="65"/>
        </w:numPr>
        <w:spacing w:line="276" w:lineRule="auto"/>
        <w:rPr>
          <w:rFonts w:cstheme="minorHAnsi"/>
        </w:rPr>
      </w:pPr>
      <w:r>
        <w:rPr>
          <w:rFonts w:cstheme="minorHAnsi"/>
        </w:rPr>
        <w:t>To ensure all medical staff are fully conversant with and adhere to their respective roles and responsibilities</w:t>
      </w:r>
    </w:p>
    <w:p w:rsidR="003E1E32" w:rsidRDefault="003E1E32" w:rsidP="003E1E32">
      <w:pPr>
        <w:pStyle w:val="ListParagraph"/>
        <w:numPr>
          <w:ilvl w:val="0"/>
          <w:numId w:val="65"/>
        </w:numPr>
        <w:spacing w:line="276" w:lineRule="auto"/>
        <w:rPr>
          <w:rFonts w:cstheme="minorHAnsi"/>
        </w:rPr>
      </w:pPr>
      <w:r>
        <w:rPr>
          <w:rFonts w:cstheme="minorHAnsi"/>
        </w:rPr>
        <w:t>To facilitate regular education, development and pastoral support to the ED medical team based on clinical need and risk assessment</w:t>
      </w:r>
    </w:p>
    <w:p w:rsidR="003E1E32" w:rsidRDefault="003E1E32" w:rsidP="003E1E32">
      <w:pPr>
        <w:pStyle w:val="ListParagraph"/>
        <w:numPr>
          <w:ilvl w:val="0"/>
          <w:numId w:val="65"/>
        </w:numPr>
        <w:spacing w:line="276" w:lineRule="auto"/>
        <w:rPr>
          <w:rFonts w:cstheme="minorHAnsi"/>
        </w:rPr>
      </w:pPr>
      <w:r>
        <w:rPr>
          <w:rFonts w:cstheme="minorHAnsi"/>
        </w:rPr>
        <w:t>Review and amend the allocation of staff resource in the department, in conjunction with the Clinical Co-ordinator based on acuity and flow</w:t>
      </w:r>
    </w:p>
    <w:p w:rsidR="003E1E32" w:rsidRDefault="003E1E32" w:rsidP="003E1E32">
      <w:pPr>
        <w:pStyle w:val="ListParagraph"/>
        <w:numPr>
          <w:ilvl w:val="0"/>
          <w:numId w:val="65"/>
        </w:numPr>
        <w:spacing w:line="276" w:lineRule="auto"/>
        <w:rPr>
          <w:rFonts w:cstheme="minorHAnsi"/>
        </w:rPr>
      </w:pPr>
      <w:r>
        <w:rPr>
          <w:rFonts w:cstheme="minorHAnsi"/>
        </w:rPr>
        <w:t>To ensure medical staff and ACP’s receive appropriate respite as required</w:t>
      </w:r>
    </w:p>
    <w:p w:rsidR="003E1E32" w:rsidRDefault="003E1E32" w:rsidP="003E1E32">
      <w:pPr>
        <w:pStyle w:val="ListParagraph"/>
        <w:numPr>
          <w:ilvl w:val="0"/>
          <w:numId w:val="65"/>
        </w:numPr>
        <w:spacing w:line="276" w:lineRule="auto"/>
        <w:rPr>
          <w:rFonts w:cstheme="minorHAnsi"/>
        </w:rPr>
      </w:pPr>
      <w:r>
        <w:rPr>
          <w:rFonts w:cstheme="minorHAnsi"/>
        </w:rPr>
        <w:t>To provide regular review, assessment and deployment of the ED staffing rota, ensuring any gaps are identified and escalated accordingly</w:t>
      </w:r>
    </w:p>
    <w:p w:rsidR="003E1E32" w:rsidRDefault="003E1E32" w:rsidP="003E1E32">
      <w:pPr>
        <w:ind w:hanging="720"/>
        <w:rPr>
          <w:rFonts w:cstheme="minorHAnsi"/>
        </w:rPr>
      </w:pPr>
    </w:p>
    <w:p w:rsidR="003E1E32" w:rsidRDefault="003E1E32" w:rsidP="003E1E32">
      <w:pPr>
        <w:rPr>
          <w:rFonts w:cstheme="minorHAnsi"/>
        </w:rPr>
      </w:pPr>
      <w:r>
        <w:rPr>
          <w:rFonts w:cstheme="minorHAnsi"/>
        </w:rPr>
        <w:t>Handover</w:t>
      </w:r>
    </w:p>
    <w:p w:rsidR="003E1E32" w:rsidRDefault="003E1E32" w:rsidP="003E1E32">
      <w:pPr>
        <w:pStyle w:val="ListParagraph"/>
        <w:numPr>
          <w:ilvl w:val="0"/>
          <w:numId w:val="66"/>
        </w:numPr>
        <w:spacing w:line="276" w:lineRule="auto"/>
        <w:rPr>
          <w:rFonts w:cstheme="minorHAnsi"/>
        </w:rPr>
      </w:pPr>
      <w:r>
        <w:rPr>
          <w:rFonts w:cstheme="minorHAnsi"/>
        </w:rPr>
        <w:t xml:space="preserve">Ensure all staff attend daily handover at 8 am, 3 pm and 9 pm </w:t>
      </w:r>
    </w:p>
    <w:p w:rsidR="003E1E32" w:rsidRDefault="003E1E32" w:rsidP="003E1E32">
      <w:pPr>
        <w:pStyle w:val="ListParagraph"/>
        <w:numPr>
          <w:ilvl w:val="0"/>
          <w:numId w:val="66"/>
        </w:numPr>
        <w:spacing w:line="276" w:lineRule="auto"/>
        <w:rPr>
          <w:rFonts w:cstheme="minorHAnsi"/>
        </w:rPr>
      </w:pPr>
      <w:r>
        <w:rPr>
          <w:rFonts w:cstheme="minorHAnsi"/>
        </w:rPr>
        <w:t>To ensure all medical/ACP staff deliver and receive an appropriate clinical handover</w:t>
      </w:r>
    </w:p>
    <w:p w:rsidR="003E1E32" w:rsidRDefault="003E1E32" w:rsidP="003E1E32">
      <w:pPr>
        <w:pStyle w:val="ListParagraph"/>
        <w:numPr>
          <w:ilvl w:val="0"/>
          <w:numId w:val="66"/>
        </w:numPr>
        <w:spacing w:line="276" w:lineRule="auto"/>
        <w:rPr>
          <w:rFonts w:cstheme="minorHAnsi"/>
        </w:rPr>
      </w:pPr>
      <w:r>
        <w:rPr>
          <w:rFonts w:cstheme="minorHAnsi"/>
        </w:rPr>
        <w:t>To provide senior clinical oversight in respect of any concerns raised at handover</w:t>
      </w:r>
    </w:p>
    <w:p w:rsidR="003E1E32" w:rsidRDefault="003E1E32" w:rsidP="003E1E32">
      <w:pPr>
        <w:rPr>
          <w:rFonts w:cstheme="minorHAnsi"/>
        </w:rPr>
      </w:pPr>
    </w:p>
    <w:p w:rsidR="003E1E32" w:rsidRDefault="003E1E32" w:rsidP="003E1E32">
      <w:pPr>
        <w:rPr>
          <w:rFonts w:cstheme="minorHAnsi"/>
        </w:rPr>
      </w:pPr>
      <w:r>
        <w:rPr>
          <w:rFonts w:cstheme="minorHAnsi"/>
        </w:rPr>
        <w:t>Direct Patient Contact</w:t>
      </w:r>
    </w:p>
    <w:p w:rsidR="003E1E32" w:rsidRDefault="003E1E32" w:rsidP="003E1E32">
      <w:pPr>
        <w:pStyle w:val="ListParagraph"/>
        <w:numPr>
          <w:ilvl w:val="0"/>
          <w:numId w:val="67"/>
        </w:numPr>
        <w:spacing w:line="276" w:lineRule="auto"/>
        <w:rPr>
          <w:rFonts w:cstheme="minorHAnsi"/>
        </w:rPr>
      </w:pPr>
      <w:r>
        <w:rPr>
          <w:rFonts w:cstheme="minorHAnsi"/>
        </w:rPr>
        <w:t>To provide overall senior clinical responsibility for all patients in the department utilising respective skills to expedite individual patient journeys when required</w:t>
      </w:r>
    </w:p>
    <w:p w:rsidR="003E1E32" w:rsidRDefault="003E1E32" w:rsidP="003E1E32">
      <w:pPr>
        <w:pStyle w:val="ListParagraph"/>
        <w:spacing w:line="276" w:lineRule="auto"/>
        <w:rPr>
          <w:rFonts w:cstheme="minorHAnsi"/>
        </w:rPr>
      </w:pPr>
    </w:p>
    <w:p w:rsidR="003E1E32" w:rsidRDefault="003E1E32" w:rsidP="003E1E32">
      <w:pPr>
        <w:pStyle w:val="ListParagraph"/>
        <w:spacing w:line="276" w:lineRule="auto"/>
        <w:ind w:left="0"/>
        <w:rPr>
          <w:rFonts w:cstheme="minorHAnsi"/>
          <w:b/>
        </w:rPr>
      </w:pPr>
      <w:r>
        <w:rPr>
          <w:rFonts w:cstheme="minorHAnsi"/>
          <w:b/>
        </w:rPr>
        <w:t xml:space="preserve">The Nurse-in-charge (NIC) </w:t>
      </w:r>
    </w:p>
    <w:p w:rsidR="003E1E32" w:rsidRDefault="003E1E32" w:rsidP="003E1E32">
      <w:pPr>
        <w:pStyle w:val="ListParagraph"/>
        <w:spacing w:line="276" w:lineRule="auto"/>
        <w:ind w:left="0"/>
        <w:rPr>
          <w:rFonts w:cstheme="minorHAnsi"/>
          <w:b/>
        </w:rPr>
      </w:pPr>
    </w:p>
    <w:p w:rsidR="003E1E32" w:rsidRDefault="003E1E32" w:rsidP="003E1E32">
      <w:pPr>
        <w:pStyle w:val="ListParagraph"/>
        <w:spacing w:line="276" w:lineRule="auto"/>
        <w:ind w:left="0"/>
        <w:rPr>
          <w:rFonts w:cstheme="minorHAnsi"/>
        </w:rPr>
      </w:pPr>
      <w:r>
        <w:rPr>
          <w:rFonts w:cstheme="minorHAnsi"/>
        </w:rPr>
        <w:t xml:space="preserve">The SOP below identifies the roles and responsibilities of the NIC as a Clinical Co-ordinator (CCO), who can undertake said role, base within the department and Key relationships. </w:t>
      </w:r>
    </w:p>
    <w:p w:rsidR="003E1E32" w:rsidRDefault="009E4C9E" w:rsidP="003E1E32">
      <w:pPr>
        <w:pStyle w:val="ListParagraph"/>
        <w:spacing w:line="276" w:lineRule="auto"/>
        <w:ind w:left="0"/>
        <w:rPr>
          <w:rFonts w:cstheme="minorHAnsi"/>
        </w:rPr>
      </w:pPr>
      <w:r>
        <w:rPr>
          <w:noProof/>
          <w:lang w:eastAsia="en-GB"/>
        </w:rPr>
        <mc:AlternateContent>
          <mc:Choice Requires="wps">
            <w:drawing>
              <wp:anchor distT="0" distB="0" distL="114300" distR="114300" simplePos="0" relativeHeight="251722240" behindDoc="0" locked="0" layoutInCell="1" allowOverlap="1">
                <wp:simplePos x="0" y="0"/>
                <wp:positionH relativeFrom="column">
                  <wp:posOffset>1425575</wp:posOffset>
                </wp:positionH>
                <wp:positionV relativeFrom="paragraph">
                  <wp:posOffset>32385</wp:posOffset>
                </wp:positionV>
                <wp:extent cx="3458845" cy="246380"/>
                <wp:effectExtent l="0" t="0" r="27305" b="20320"/>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8845" cy="246380"/>
                        </a:xfrm>
                        <a:prstGeom prst="rect">
                          <a:avLst/>
                        </a:prstGeom>
                        <a:solidFill>
                          <a:srgbClr val="FFFFFF"/>
                        </a:solidFill>
                        <a:ln w="9525">
                          <a:solidFill>
                            <a:srgbClr val="000000"/>
                          </a:solidFill>
                          <a:miter lim="800000"/>
                          <a:headEnd/>
                          <a:tailEnd/>
                        </a:ln>
                      </wps:spPr>
                      <wps:txbx>
                        <w:txbxContent>
                          <w:p w:rsidR="00336A14" w:rsidRDefault="00336A14" w:rsidP="003E1E32">
                            <w:pPr>
                              <w:pStyle w:val="ListParagraph"/>
                              <w:spacing w:line="276" w:lineRule="auto"/>
                              <w:ind w:left="0"/>
                              <w:jc w:val="center"/>
                              <w:rPr>
                                <w:rFonts w:cstheme="minorHAnsi"/>
                                <w:b/>
                                <w:color w:val="FF0000"/>
                                <w:sz w:val="16"/>
                                <w:szCs w:val="16"/>
                              </w:rPr>
                            </w:pPr>
                            <w:r>
                              <w:rPr>
                                <w:rFonts w:cstheme="minorHAnsi"/>
                                <w:b/>
                                <w:color w:val="FF0000"/>
                                <w:sz w:val="16"/>
                                <w:szCs w:val="16"/>
                              </w:rPr>
                              <w:t>This SOP is currently under further development following recent changes</w:t>
                            </w:r>
                          </w:p>
                          <w:p w:rsidR="00336A14" w:rsidRDefault="00336A14" w:rsidP="003E1E32">
                            <w:pPr>
                              <w:jc w:val="center"/>
                              <w:rPr>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07" o:spid="_x0000_s1028" type="#_x0000_t202" style="position:absolute;margin-left:112.25pt;margin-top:2.55pt;width:272.35pt;height:19.4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">
                <v:textbox>
                  <w:txbxContent>
                    <w:p w:rsidR="00336A14" w:rsidRDefault="00336A14" w:rsidP="003E1E32">
                      <w:pPr>
                        <w:pStyle w:val="ListParagraph"/>
                        <w:spacing w:line="276" w:lineRule="auto"/>
                        <w:ind w:left="0"/>
                        <w:jc w:val="center"/>
                        <w:rPr>
                          <w:rFonts w:cstheme="minorHAnsi"/>
                          <w:b/>
                          <w:color w:val="FF0000"/>
                          <w:sz w:val="16"/>
                          <w:szCs w:val="16"/>
                        </w:rPr>
                      </w:pPr>
                      <w:r>
                        <w:rPr>
                          <w:rFonts w:cstheme="minorHAnsi"/>
                          <w:b/>
                          <w:color w:val="FF0000"/>
                          <w:sz w:val="16"/>
                          <w:szCs w:val="16"/>
                        </w:rPr>
                        <w:t>This SOP is currently under further development following recent changes</w:t>
                      </w:r>
                    </w:p>
                    <w:p w:rsidR="00336A14" w:rsidRDefault="00336A14" w:rsidP="003E1E32">
                      <w:pPr>
                        <w:jc w:val="center"/>
                        <w:rPr>
                          <w:szCs w:val="24"/>
                        </w:rPr>
                      </w:pPr>
                    </w:p>
                  </w:txbxContent>
                </v:textbox>
              </v:shape>
            </w:pict>
          </mc:Fallback>
        </mc:AlternateContent>
      </w:r>
    </w:p>
    <w:p w:rsidR="003E1E32" w:rsidRDefault="003E1E32" w:rsidP="003E1E32">
      <w:pPr>
        <w:pStyle w:val="ListParagraph"/>
        <w:spacing w:line="276" w:lineRule="auto"/>
        <w:ind w:left="0"/>
        <w:rPr>
          <w:rFonts w:cstheme="minorHAnsi"/>
        </w:rPr>
      </w:pPr>
    </w:p>
    <w:p w:rsidR="003E1E32" w:rsidRDefault="003E1E32" w:rsidP="003E1E32">
      <w:pPr>
        <w:rPr>
          <w:rFonts w:cstheme="minorHAnsi"/>
        </w:rPr>
      </w:pPr>
      <w:r>
        <w:rPr>
          <w:rFonts w:cstheme="minorHAnsi"/>
          <w:b/>
        </w:rPr>
        <w:t>Hospital-wide policy</w:t>
      </w:r>
    </w:p>
    <w:p w:rsidR="003E1E32" w:rsidRDefault="003E1E32" w:rsidP="003E1E32">
      <w:pPr>
        <w:rPr>
          <w:rFonts w:cstheme="minorHAnsi"/>
        </w:rPr>
      </w:pPr>
    </w:p>
    <w:p w:rsidR="003E1E32" w:rsidRDefault="003E1E32" w:rsidP="003E1E32">
      <w:pPr>
        <w:numPr>
          <w:ilvl w:val="0"/>
          <w:numId w:val="67"/>
        </w:numPr>
        <w:rPr>
          <w:rFonts w:cstheme="minorHAnsi"/>
        </w:rPr>
      </w:pPr>
      <w:r>
        <w:rPr>
          <w:rFonts w:cstheme="minorHAnsi"/>
        </w:rPr>
        <w:t>Emergency Department (ED) will initiate all appropriate emergency investigations prior to admission.</w:t>
      </w:r>
    </w:p>
    <w:p w:rsidR="003E1E32" w:rsidRDefault="003E1E32" w:rsidP="003E1E32">
      <w:pPr>
        <w:numPr>
          <w:ilvl w:val="0"/>
          <w:numId w:val="67"/>
        </w:numPr>
        <w:rPr>
          <w:rFonts w:cstheme="minorHAnsi"/>
        </w:rPr>
      </w:pPr>
      <w:r>
        <w:rPr>
          <w:rFonts w:cstheme="minorHAnsi"/>
        </w:rPr>
        <w:t>ED will also initiate all time-critical emergency treatment prior to admission.</w:t>
      </w:r>
    </w:p>
    <w:p w:rsidR="003E1E32" w:rsidRDefault="003E1E32" w:rsidP="003E1E32">
      <w:pPr>
        <w:numPr>
          <w:ilvl w:val="0"/>
          <w:numId w:val="67"/>
        </w:numPr>
        <w:rPr>
          <w:rFonts w:cstheme="minorHAnsi"/>
        </w:rPr>
      </w:pPr>
      <w:r>
        <w:rPr>
          <w:rFonts w:cstheme="minorHAnsi"/>
        </w:rPr>
        <w:t>ED Staff should refer patients within 2 hrs of their arrival</w:t>
      </w:r>
    </w:p>
    <w:p w:rsidR="003E1E32" w:rsidRDefault="003E1E32" w:rsidP="003E1E32">
      <w:pPr>
        <w:numPr>
          <w:ilvl w:val="0"/>
          <w:numId w:val="67"/>
        </w:numPr>
        <w:rPr>
          <w:rFonts w:cstheme="minorHAnsi"/>
        </w:rPr>
      </w:pPr>
      <w:r>
        <w:rPr>
          <w:rFonts w:cstheme="minorHAnsi"/>
        </w:rPr>
        <w:t>After referral for admission is made, duty of care passes to the accepting specialty.</w:t>
      </w:r>
    </w:p>
    <w:p w:rsidR="003E1E32" w:rsidRDefault="003E1E32" w:rsidP="003E1E32">
      <w:pPr>
        <w:numPr>
          <w:ilvl w:val="0"/>
          <w:numId w:val="67"/>
        </w:numPr>
        <w:rPr>
          <w:rFonts w:cstheme="minorHAnsi"/>
          <w:b/>
        </w:rPr>
      </w:pPr>
      <w:r>
        <w:rPr>
          <w:rFonts w:cstheme="minorHAnsi"/>
        </w:rPr>
        <w:t>Following referral to specialty from ED, the specialty registrar / consultant will attend the ED within 30 minutes of referral. If the specialty cannot attend within 30 minutes, the patient will be transferred to the appropriate ward for review.</w:t>
      </w:r>
    </w:p>
    <w:p w:rsidR="003E1E32" w:rsidRDefault="003E1E32" w:rsidP="003E1E32">
      <w:pPr>
        <w:numPr>
          <w:ilvl w:val="0"/>
          <w:numId w:val="67"/>
        </w:numPr>
        <w:rPr>
          <w:rFonts w:cstheme="minorHAnsi"/>
          <w:b/>
        </w:rPr>
      </w:pPr>
      <w:r>
        <w:rPr>
          <w:rFonts w:cstheme="minorHAnsi"/>
        </w:rPr>
        <w:t>Specialty opinions should be given by ST-3 level doctor or above.</w:t>
      </w:r>
    </w:p>
    <w:p w:rsidR="003E1E32" w:rsidRDefault="003E1E32" w:rsidP="003E1E32">
      <w:pPr>
        <w:numPr>
          <w:ilvl w:val="0"/>
          <w:numId w:val="67"/>
        </w:numPr>
        <w:rPr>
          <w:rFonts w:cstheme="minorHAnsi"/>
          <w:b/>
        </w:rPr>
      </w:pPr>
      <w:r>
        <w:rPr>
          <w:rFonts w:cstheme="minorHAnsi"/>
        </w:rPr>
        <w:lastRenderedPageBreak/>
        <w:t>A bed request should be made as soon as admission is anticipated.</w:t>
      </w:r>
    </w:p>
    <w:p w:rsidR="003E1E32" w:rsidRDefault="003E1E32" w:rsidP="003E1E32">
      <w:pPr>
        <w:numPr>
          <w:ilvl w:val="0"/>
          <w:numId w:val="67"/>
        </w:numPr>
        <w:rPr>
          <w:rFonts w:cstheme="minorHAnsi"/>
          <w:b/>
        </w:rPr>
      </w:pPr>
      <w:r>
        <w:rPr>
          <w:rFonts w:cstheme="minorHAnsi"/>
        </w:rPr>
        <w:t>Patients accepted for in-patient bed will be transferred with 30 min of acceptance.</w:t>
      </w:r>
    </w:p>
    <w:p w:rsidR="003E1E32" w:rsidRDefault="003E1E32" w:rsidP="003E1E32">
      <w:pPr>
        <w:numPr>
          <w:ilvl w:val="0"/>
          <w:numId w:val="67"/>
        </w:numPr>
        <w:rPr>
          <w:rFonts w:cstheme="minorHAnsi"/>
          <w:b/>
        </w:rPr>
      </w:pPr>
      <w:r>
        <w:rPr>
          <w:rFonts w:cstheme="minorHAnsi"/>
        </w:rPr>
        <w:t>Stable adult patients considered for fast track admission must have a senior specialty / ED Consultant review (e.g. stroke patient).</w:t>
      </w:r>
    </w:p>
    <w:p w:rsidR="003E1E32" w:rsidRDefault="003E1E32" w:rsidP="003E1E32">
      <w:pPr>
        <w:numPr>
          <w:ilvl w:val="0"/>
          <w:numId w:val="67"/>
        </w:numPr>
        <w:rPr>
          <w:rFonts w:cstheme="minorHAnsi"/>
          <w:b/>
        </w:rPr>
      </w:pPr>
      <w:r>
        <w:rPr>
          <w:rFonts w:cstheme="minorHAnsi"/>
        </w:rPr>
        <w:t>If patient with a GP referral letter to a specialty arrive in the ED, they should be seen by that team in the ED within 60 minutes of arrival, if deemed appropriate by the ED Consultant, even if they are not ‘expected’.</w:t>
      </w:r>
    </w:p>
    <w:p w:rsidR="003E1E32" w:rsidRDefault="003E1E32" w:rsidP="003E1E32">
      <w:pPr>
        <w:numPr>
          <w:ilvl w:val="0"/>
          <w:numId w:val="67"/>
        </w:numPr>
        <w:rPr>
          <w:rFonts w:cstheme="minorHAnsi"/>
          <w:b/>
        </w:rPr>
      </w:pPr>
      <w:r>
        <w:rPr>
          <w:rFonts w:cstheme="minorHAnsi"/>
        </w:rPr>
        <w:t>Discharged patients who return within 7 days of surgery or a procedure, must be seen by the specialty team if they return with a direct complication of their surgery or procedure; e.g. wound infection / pain.</w:t>
      </w:r>
    </w:p>
    <w:p w:rsidR="003E1E32" w:rsidRDefault="003E1E32" w:rsidP="003E1E32">
      <w:pPr>
        <w:numPr>
          <w:ilvl w:val="0"/>
          <w:numId w:val="67"/>
        </w:numPr>
        <w:rPr>
          <w:rFonts w:cstheme="minorHAnsi"/>
          <w:b/>
        </w:rPr>
      </w:pPr>
      <w:r>
        <w:rPr>
          <w:rFonts w:cstheme="minorHAnsi"/>
        </w:rPr>
        <w:t xml:space="preserve">When the waiting time to be seen by a doctor in the ED is estimated to be in excess of 3 hours, specialty teams may be contacted to review patients deemed likely for admission to their specialty (following review by an ED senior decision maker). It should be noted that this should be the exception rather than the rule and should be escalated to Gold </w:t>
      </w:r>
      <w:proofErr w:type="gramStart"/>
      <w:r>
        <w:rPr>
          <w:rFonts w:cstheme="minorHAnsi"/>
        </w:rPr>
        <w:t>On</w:t>
      </w:r>
      <w:proofErr w:type="gramEnd"/>
      <w:r>
        <w:rPr>
          <w:rFonts w:cstheme="minorHAnsi"/>
        </w:rPr>
        <w:t xml:space="preserve"> Call to authorise this decision.</w:t>
      </w:r>
    </w:p>
    <w:p w:rsidR="003E1E32" w:rsidRDefault="003E1E32" w:rsidP="003E1E32">
      <w:pPr>
        <w:numPr>
          <w:ilvl w:val="0"/>
          <w:numId w:val="67"/>
        </w:numPr>
        <w:rPr>
          <w:rFonts w:cstheme="minorHAnsi"/>
          <w:b/>
        </w:rPr>
      </w:pPr>
      <w:r>
        <w:rPr>
          <w:rFonts w:cstheme="minorHAnsi"/>
        </w:rPr>
        <w:t>Patients who fulfil the specialty referral criteria (who may be suitable for discharge), can be referred directly by the ED Consultant to specialty without additional re review.</w:t>
      </w:r>
    </w:p>
    <w:p w:rsidR="003E1E32" w:rsidRDefault="003E1E32" w:rsidP="003E1E32">
      <w:pPr>
        <w:numPr>
          <w:ilvl w:val="0"/>
          <w:numId w:val="67"/>
        </w:numPr>
        <w:rPr>
          <w:rFonts w:cstheme="minorHAnsi"/>
          <w:b/>
        </w:rPr>
      </w:pPr>
      <w:r>
        <w:rPr>
          <w:rFonts w:cstheme="minorHAnsi"/>
        </w:rPr>
        <w:t>Once a reasonable referral has been made by the ED to a specialty and the specialty feels that it is in the patient’s best interest to be managed by another specialty, then the responsibility of referring the patient to the other specialty lies with the first specialty and does not default back to the ED.</w:t>
      </w:r>
    </w:p>
    <w:p w:rsidR="003E1E32" w:rsidRDefault="003E1E32" w:rsidP="003E1E32">
      <w:pPr>
        <w:numPr>
          <w:ilvl w:val="0"/>
          <w:numId w:val="67"/>
        </w:numPr>
        <w:rPr>
          <w:rFonts w:cstheme="minorHAnsi"/>
          <w:b/>
        </w:rPr>
      </w:pPr>
      <w:r>
        <w:rPr>
          <w:rFonts w:cstheme="minorHAnsi"/>
        </w:rPr>
        <w:t xml:space="preserve">If a patient clearly needs admission and two or more specialties cannot agree on who should accept the patient, this must be discussed at Consultant level. If this still cannot be agreed, the ED Consultant will decide which specialty the patient will be transferred to and the most appropriate clinical environment in cases of disagreement. The names of the consultants on call for these specialties should be documented in the ED notes for clarity of patient ownership. </w:t>
      </w:r>
    </w:p>
    <w:p w:rsidR="003E1E32" w:rsidRDefault="003E1E32" w:rsidP="003E1E32">
      <w:pPr>
        <w:rPr>
          <w:rFonts w:cstheme="minorHAnsi"/>
          <w:b/>
        </w:rPr>
      </w:pPr>
      <w:r>
        <w:rPr>
          <w:rFonts w:cstheme="minorHAnsi"/>
        </w:rPr>
        <w:t xml:space="preserve">                                                                                                                                                                                                                                                                                                                                                                                                                                                                                                                                                                                                                                                                                                                                                                                                                                                                                                                                              </w:t>
      </w:r>
    </w:p>
    <w:p w:rsidR="003E1E32" w:rsidRDefault="003E1E32" w:rsidP="003E1E32">
      <w:pPr>
        <w:pStyle w:val="PlainText"/>
        <w:jc w:val="both"/>
        <w:rPr>
          <w:rFonts w:asciiTheme="minorHAnsi" w:hAnsiTheme="minorHAnsi" w:cstheme="minorHAnsi"/>
          <w:b/>
          <w:sz w:val="24"/>
          <w:szCs w:val="24"/>
        </w:rPr>
      </w:pPr>
      <w:proofErr w:type="spellStart"/>
      <w:r>
        <w:rPr>
          <w:rFonts w:asciiTheme="minorHAnsi" w:hAnsiTheme="minorHAnsi" w:cstheme="minorHAnsi"/>
          <w:b/>
          <w:sz w:val="24"/>
          <w:szCs w:val="24"/>
        </w:rPr>
        <w:t>Resus</w:t>
      </w:r>
      <w:proofErr w:type="spellEnd"/>
    </w:p>
    <w:p w:rsidR="003E1E32" w:rsidRDefault="003E1E32" w:rsidP="003E1E32">
      <w:pPr>
        <w:pStyle w:val="PlainText"/>
        <w:jc w:val="both"/>
        <w:rPr>
          <w:rFonts w:asciiTheme="minorHAnsi" w:hAnsiTheme="minorHAnsi" w:cstheme="minorHAnsi"/>
          <w:b/>
          <w:sz w:val="24"/>
          <w:szCs w:val="24"/>
        </w:rPr>
      </w:pPr>
    </w:p>
    <w:p w:rsidR="003E1E32" w:rsidRDefault="003E1E32" w:rsidP="003E1E32">
      <w:pPr>
        <w:pStyle w:val="PlainText"/>
        <w:numPr>
          <w:ilvl w:val="0"/>
          <w:numId w:val="68"/>
        </w:numPr>
        <w:jc w:val="both"/>
        <w:rPr>
          <w:rFonts w:asciiTheme="minorHAnsi" w:hAnsiTheme="minorHAnsi" w:cstheme="minorHAnsi"/>
          <w:sz w:val="24"/>
          <w:szCs w:val="24"/>
        </w:rPr>
      </w:pPr>
      <w:r>
        <w:rPr>
          <w:rFonts w:asciiTheme="minorHAnsi" w:hAnsiTheme="minorHAnsi" w:cstheme="minorHAnsi"/>
          <w:sz w:val="24"/>
          <w:szCs w:val="24"/>
        </w:rPr>
        <w:t xml:space="preserve">Critically ill patients in </w:t>
      </w:r>
      <w:proofErr w:type="spellStart"/>
      <w:r>
        <w:rPr>
          <w:rFonts w:asciiTheme="minorHAnsi" w:hAnsiTheme="minorHAnsi" w:cstheme="minorHAnsi"/>
          <w:sz w:val="24"/>
          <w:szCs w:val="24"/>
        </w:rPr>
        <w:t>Resus</w:t>
      </w:r>
      <w:proofErr w:type="spellEnd"/>
      <w:r>
        <w:rPr>
          <w:rFonts w:asciiTheme="minorHAnsi" w:hAnsiTheme="minorHAnsi" w:cstheme="minorHAnsi"/>
          <w:sz w:val="24"/>
          <w:szCs w:val="24"/>
        </w:rPr>
        <w:t xml:space="preserve"> will have assessment and resuscitation initiated by the Emergency Department. If the patient has been referred to a specialty, the speciality team should attend within a maximum of 30 minutes and remain with the patient for on-going care until stabilised.  </w:t>
      </w:r>
    </w:p>
    <w:p w:rsidR="003E1E32" w:rsidRDefault="003E1E32" w:rsidP="003E1E32">
      <w:pPr>
        <w:pStyle w:val="PlainText"/>
        <w:numPr>
          <w:ilvl w:val="0"/>
          <w:numId w:val="68"/>
        </w:numPr>
        <w:jc w:val="both"/>
        <w:rPr>
          <w:rFonts w:asciiTheme="minorHAnsi" w:hAnsiTheme="minorHAnsi" w:cstheme="minorHAnsi"/>
          <w:sz w:val="24"/>
          <w:szCs w:val="24"/>
        </w:rPr>
      </w:pPr>
      <w:r>
        <w:rPr>
          <w:rFonts w:asciiTheme="minorHAnsi" w:hAnsiTheme="minorHAnsi" w:cstheme="minorHAnsi"/>
          <w:sz w:val="24"/>
          <w:szCs w:val="24"/>
        </w:rPr>
        <w:t>The review should be by specialty ST3 or above within 30 minutes of referral. The duty of care remains with the Emergency Department until the specialty attends.  If the specialty cannot attend within 30 minutes, escalation to specialty consultant level is required. (Review by a more junior doctor is not appropriate.)</w:t>
      </w:r>
    </w:p>
    <w:p w:rsidR="003E1E32" w:rsidRDefault="003E1E32" w:rsidP="003E1E32">
      <w:pPr>
        <w:pStyle w:val="PlainText"/>
        <w:numPr>
          <w:ilvl w:val="0"/>
          <w:numId w:val="68"/>
        </w:numPr>
        <w:jc w:val="both"/>
        <w:rPr>
          <w:rFonts w:asciiTheme="minorHAnsi" w:hAnsiTheme="minorHAnsi" w:cstheme="minorHAnsi"/>
          <w:sz w:val="24"/>
          <w:szCs w:val="24"/>
        </w:rPr>
      </w:pPr>
      <w:r>
        <w:rPr>
          <w:rFonts w:asciiTheme="minorHAnsi" w:hAnsiTheme="minorHAnsi" w:cstheme="minorHAnsi"/>
          <w:sz w:val="24"/>
          <w:szCs w:val="24"/>
        </w:rPr>
        <w:t xml:space="preserve">All genuine </w:t>
      </w:r>
      <w:proofErr w:type="spellStart"/>
      <w:r>
        <w:rPr>
          <w:rFonts w:asciiTheme="minorHAnsi" w:hAnsiTheme="minorHAnsi" w:cstheme="minorHAnsi"/>
          <w:sz w:val="24"/>
          <w:szCs w:val="24"/>
        </w:rPr>
        <w:t>Resus</w:t>
      </w:r>
      <w:proofErr w:type="spellEnd"/>
      <w:r>
        <w:rPr>
          <w:rFonts w:asciiTheme="minorHAnsi" w:hAnsiTheme="minorHAnsi" w:cstheme="minorHAnsi"/>
          <w:sz w:val="24"/>
          <w:szCs w:val="24"/>
        </w:rPr>
        <w:t xml:space="preserve"> patients should have a clear plan/diagnosis within 2 hours of entering </w:t>
      </w:r>
      <w:proofErr w:type="spellStart"/>
      <w:r>
        <w:rPr>
          <w:rFonts w:asciiTheme="minorHAnsi" w:hAnsiTheme="minorHAnsi" w:cstheme="minorHAnsi"/>
          <w:sz w:val="24"/>
          <w:szCs w:val="24"/>
        </w:rPr>
        <w:t>Resus</w:t>
      </w:r>
      <w:proofErr w:type="spellEnd"/>
      <w:r>
        <w:rPr>
          <w:rFonts w:asciiTheme="minorHAnsi" w:hAnsiTheme="minorHAnsi" w:cstheme="minorHAnsi"/>
          <w:sz w:val="24"/>
          <w:szCs w:val="24"/>
        </w:rPr>
        <w:t xml:space="preserve">.  If this is not the case, the Emergency Department Consultant should be informed in addition to the consultant of the corresponding speciality.  If agreement still cannot be reached then the specialty consultant should have a direct </w:t>
      </w:r>
      <w:r>
        <w:rPr>
          <w:rFonts w:asciiTheme="minorHAnsi" w:hAnsiTheme="minorHAnsi" w:cstheme="minorHAnsi"/>
          <w:sz w:val="24"/>
          <w:szCs w:val="24"/>
        </w:rPr>
        <w:lastRenderedPageBreak/>
        <w:t>conversation with the Emergency Department to resolve the issue in the patient’s best interest.</w:t>
      </w:r>
    </w:p>
    <w:p w:rsidR="003E1E32" w:rsidRDefault="003E1E32" w:rsidP="003E1E32">
      <w:pPr>
        <w:pStyle w:val="PlainText"/>
        <w:numPr>
          <w:ilvl w:val="0"/>
          <w:numId w:val="68"/>
        </w:numPr>
        <w:jc w:val="both"/>
        <w:rPr>
          <w:rFonts w:asciiTheme="minorHAnsi" w:hAnsiTheme="minorHAnsi" w:cstheme="minorHAnsi"/>
          <w:sz w:val="24"/>
          <w:szCs w:val="24"/>
        </w:rPr>
      </w:pPr>
      <w:r>
        <w:rPr>
          <w:rFonts w:asciiTheme="minorHAnsi" w:hAnsiTheme="minorHAnsi" w:cstheme="minorHAnsi"/>
          <w:sz w:val="24"/>
          <w:szCs w:val="24"/>
        </w:rPr>
        <w:t xml:space="preserve">Attached below is the SOP designed to provide guidance and support for the NIC of the </w:t>
      </w:r>
      <w:proofErr w:type="spellStart"/>
      <w:r>
        <w:rPr>
          <w:rFonts w:asciiTheme="minorHAnsi" w:hAnsiTheme="minorHAnsi" w:cstheme="minorHAnsi"/>
          <w:sz w:val="24"/>
          <w:szCs w:val="24"/>
        </w:rPr>
        <w:t>Resus</w:t>
      </w:r>
      <w:proofErr w:type="spellEnd"/>
      <w:r>
        <w:rPr>
          <w:rFonts w:asciiTheme="minorHAnsi" w:hAnsiTheme="minorHAnsi" w:cstheme="minorHAnsi"/>
          <w:sz w:val="24"/>
          <w:szCs w:val="24"/>
        </w:rPr>
        <w:t xml:space="preserve"> area;</w:t>
      </w:r>
    </w:p>
    <w:p w:rsidR="003E1E32" w:rsidRDefault="003E1E32" w:rsidP="003E1E32">
      <w:pPr>
        <w:pStyle w:val="PlainText"/>
        <w:jc w:val="both"/>
        <w:rPr>
          <w:rFonts w:asciiTheme="minorHAnsi" w:hAnsiTheme="minorHAnsi" w:cstheme="minorHAnsi"/>
          <w:sz w:val="24"/>
          <w:szCs w:val="24"/>
        </w:rPr>
      </w:pPr>
    </w:p>
    <w:p w:rsidR="003E1E32" w:rsidRDefault="003E1E32" w:rsidP="003E1E32">
      <w:pPr>
        <w:pStyle w:val="PlainText"/>
        <w:jc w:val="both"/>
        <w:rPr>
          <w:rFonts w:asciiTheme="minorHAnsi" w:hAnsiTheme="minorHAnsi" w:cstheme="minorHAnsi"/>
          <w:sz w:val="24"/>
          <w:szCs w:val="24"/>
        </w:rPr>
      </w:pPr>
      <w:r>
        <w:rPr>
          <w:noProof/>
        </w:rPr>
        <mc:AlternateContent>
          <mc:Choice Requires="wps">
            <w:drawing>
              <wp:anchor distT="0" distB="0" distL="114300" distR="114300" simplePos="0" relativeHeight="251820544" behindDoc="0" locked="0" layoutInCell="1" allowOverlap="1">
                <wp:simplePos x="0" y="0"/>
                <wp:positionH relativeFrom="column">
                  <wp:posOffset>1583055</wp:posOffset>
                </wp:positionH>
                <wp:positionV relativeFrom="paragraph">
                  <wp:posOffset>97155</wp:posOffset>
                </wp:positionV>
                <wp:extent cx="3458210" cy="246380"/>
                <wp:effectExtent l="0" t="0" r="27940" b="20320"/>
                <wp:wrapNone/>
                <wp:docPr id="22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8210" cy="246380"/>
                        </a:xfrm>
                        <a:prstGeom prst="rect">
                          <a:avLst/>
                        </a:prstGeom>
                        <a:solidFill>
                          <a:srgbClr val="FFFFFF"/>
                        </a:solidFill>
                        <a:ln w="9525">
                          <a:solidFill>
                            <a:srgbClr val="000000"/>
                          </a:solidFill>
                          <a:miter lim="800000"/>
                          <a:headEnd/>
                          <a:tailEnd/>
                        </a:ln>
                      </wps:spPr>
                      <wps:txbx>
                        <w:txbxContent>
                          <w:p w:rsidR="00336A14" w:rsidRDefault="00336A14" w:rsidP="003E1E32">
                            <w:pPr>
                              <w:pStyle w:val="ListParagraph"/>
                              <w:spacing w:line="276" w:lineRule="auto"/>
                              <w:ind w:left="0"/>
                              <w:jc w:val="center"/>
                              <w:rPr>
                                <w:rFonts w:cstheme="minorHAnsi"/>
                                <w:b/>
                                <w:color w:val="FF0000"/>
                                <w:sz w:val="16"/>
                                <w:szCs w:val="16"/>
                              </w:rPr>
                            </w:pPr>
                            <w:r>
                              <w:rPr>
                                <w:rFonts w:cstheme="minorHAnsi"/>
                                <w:b/>
                                <w:color w:val="FF0000"/>
                                <w:sz w:val="16"/>
                                <w:szCs w:val="16"/>
                              </w:rPr>
                              <w:t>This SOP is currently under further development following recent changes</w:t>
                            </w:r>
                          </w:p>
                          <w:p w:rsidR="00336A14" w:rsidRDefault="00336A14" w:rsidP="003E1E32">
                            <w:pPr>
                              <w:jc w:val="center"/>
                              <w:rPr>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22" o:spid="_x0000_s1029" type="#_x0000_t202" style="position:absolute;left:0;text-align:left;margin-left:124.65pt;margin-top:7.65pt;width:272.3pt;height:19.4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">
                <v:textbox>
                  <w:txbxContent>
                    <w:p w:rsidR="00336A14" w:rsidRDefault="00336A14" w:rsidP="003E1E32">
                      <w:pPr>
                        <w:pStyle w:val="ListParagraph"/>
                        <w:spacing w:line="276" w:lineRule="auto"/>
                        <w:ind w:left="0"/>
                        <w:jc w:val="center"/>
                        <w:rPr>
                          <w:rFonts w:cstheme="minorHAnsi"/>
                          <w:b/>
                          <w:color w:val="FF0000"/>
                          <w:sz w:val="16"/>
                          <w:szCs w:val="16"/>
                        </w:rPr>
                      </w:pPr>
                      <w:r>
                        <w:rPr>
                          <w:rFonts w:cstheme="minorHAnsi"/>
                          <w:b/>
                          <w:color w:val="FF0000"/>
                          <w:sz w:val="16"/>
                          <w:szCs w:val="16"/>
                        </w:rPr>
                        <w:t>This SOP is currently under further development following recent changes</w:t>
                      </w:r>
                    </w:p>
                    <w:p w:rsidR="00336A14" w:rsidRDefault="00336A14" w:rsidP="003E1E32">
                      <w:pPr>
                        <w:jc w:val="center"/>
                        <w:rPr>
                          <w:szCs w:val="24"/>
                        </w:rPr>
                      </w:pPr>
                    </w:p>
                  </w:txbxContent>
                </v:textbox>
              </v:shape>
            </w:pict>
          </mc:Fallback>
        </mc:AlternateContent>
      </w:r>
    </w:p>
    <w:p w:rsidR="003E1E32" w:rsidRDefault="003E1E32" w:rsidP="003E1E32">
      <w:pPr>
        <w:pStyle w:val="PlainText"/>
        <w:jc w:val="both"/>
        <w:rPr>
          <w:rFonts w:asciiTheme="minorHAnsi" w:hAnsiTheme="minorHAnsi" w:cstheme="minorHAnsi"/>
          <w:sz w:val="24"/>
          <w:szCs w:val="24"/>
        </w:rPr>
      </w:pPr>
    </w:p>
    <w:p w:rsidR="003E1E32" w:rsidRDefault="003E1E32" w:rsidP="003E1E32">
      <w:pPr>
        <w:pStyle w:val="PlainText"/>
        <w:jc w:val="both"/>
        <w:rPr>
          <w:rFonts w:asciiTheme="minorHAnsi" w:hAnsiTheme="minorHAnsi" w:cstheme="minorHAnsi"/>
          <w:b/>
          <w:sz w:val="24"/>
          <w:szCs w:val="24"/>
        </w:rPr>
      </w:pPr>
      <w:r>
        <w:rPr>
          <w:rFonts w:asciiTheme="minorHAnsi" w:hAnsiTheme="minorHAnsi" w:cstheme="minorHAnsi"/>
          <w:b/>
          <w:sz w:val="24"/>
          <w:szCs w:val="24"/>
        </w:rPr>
        <w:t>Transfers out of the department</w:t>
      </w:r>
    </w:p>
    <w:p w:rsidR="003E1E32" w:rsidRDefault="003E1E32" w:rsidP="003E1E32">
      <w:pPr>
        <w:pStyle w:val="PlainText"/>
        <w:jc w:val="both"/>
        <w:rPr>
          <w:rFonts w:asciiTheme="minorHAnsi" w:hAnsiTheme="minorHAnsi" w:cstheme="minorHAnsi"/>
          <w:b/>
          <w:sz w:val="24"/>
          <w:szCs w:val="24"/>
        </w:rPr>
      </w:pPr>
    </w:p>
    <w:p w:rsidR="003E1E32" w:rsidRDefault="003E1E32" w:rsidP="003E1E32">
      <w:pPr>
        <w:pStyle w:val="PlainText"/>
        <w:numPr>
          <w:ilvl w:val="0"/>
          <w:numId w:val="69"/>
        </w:numPr>
        <w:jc w:val="both"/>
        <w:rPr>
          <w:rFonts w:asciiTheme="minorHAnsi" w:hAnsiTheme="minorHAnsi" w:cstheme="minorHAnsi"/>
          <w:sz w:val="24"/>
          <w:szCs w:val="24"/>
        </w:rPr>
      </w:pPr>
      <w:r>
        <w:rPr>
          <w:rFonts w:asciiTheme="minorHAnsi" w:hAnsiTheme="minorHAnsi" w:cstheme="minorHAnsi"/>
          <w:sz w:val="24"/>
          <w:szCs w:val="24"/>
        </w:rPr>
        <w:t xml:space="preserve">Critically ill transfers from </w:t>
      </w:r>
      <w:proofErr w:type="spellStart"/>
      <w:r>
        <w:rPr>
          <w:rFonts w:asciiTheme="minorHAnsi" w:hAnsiTheme="minorHAnsi" w:cstheme="minorHAnsi"/>
          <w:sz w:val="24"/>
          <w:szCs w:val="24"/>
        </w:rPr>
        <w:t>Resus</w:t>
      </w:r>
      <w:proofErr w:type="spellEnd"/>
      <w:r>
        <w:rPr>
          <w:rFonts w:asciiTheme="minorHAnsi" w:hAnsiTheme="minorHAnsi" w:cstheme="minorHAnsi"/>
          <w:sz w:val="24"/>
          <w:szCs w:val="24"/>
        </w:rPr>
        <w:t xml:space="preserve"> should be initiated by and arranged by the Emergency Department. Speciality teams must attend and support if requested  e.g. AAA, STEMI, major trauma  </w:t>
      </w:r>
    </w:p>
    <w:p w:rsidR="003E1E32" w:rsidRDefault="003E1E32" w:rsidP="003E1E32">
      <w:pPr>
        <w:pStyle w:val="PlainText"/>
        <w:numPr>
          <w:ilvl w:val="0"/>
          <w:numId w:val="69"/>
        </w:numPr>
        <w:jc w:val="both"/>
        <w:rPr>
          <w:rFonts w:asciiTheme="minorHAnsi" w:hAnsiTheme="minorHAnsi" w:cstheme="minorHAnsi"/>
          <w:sz w:val="24"/>
          <w:szCs w:val="24"/>
        </w:rPr>
      </w:pPr>
      <w:r>
        <w:rPr>
          <w:rFonts w:asciiTheme="minorHAnsi" w:hAnsiTheme="minorHAnsi" w:cstheme="minorHAnsi"/>
          <w:sz w:val="24"/>
          <w:szCs w:val="24"/>
        </w:rPr>
        <w:t xml:space="preserve">Non-critically ill patients requiring transfer to tertiary care should be seen and then referred by the appropriate speciality team e.g. renal by medicine, spinal by orthopaedic, vascular and paediatric surgery by general surgery.  </w:t>
      </w:r>
    </w:p>
    <w:p w:rsidR="003E1E32" w:rsidRDefault="003E1E32" w:rsidP="003E1E32">
      <w:pPr>
        <w:pStyle w:val="PlainText"/>
        <w:jc w:val="both"/>
        <w:rPr>
          <w:rFonts w:asciiTheme="minorHAnsi" w:hAnsiTheme="minorHAnsi" w:cstheme="minorHAnsi"/>
          <w:sz w:val="24"/>
          <w:szCs w:val="24"/>
        </w:rPr>
      </w:pPr>
    </w:p>
    <w:p w:rsidR="003E1E32" w:rsidRDefault="003E1E32" w:rsidP="003E1E32">
      <w:pPr>
        <w:pStyle w:val="PlainText"/>
        <w:rPr>
          <w:rFonts w:asciiTheme="minorHAnsi" w:hAnsiTheme="minorHAnsi" w:cstheme="minorHAnsi"/>
          <w:b/>
          <w:sz w:val="24"/>
          <w:szCs w:val="24"/>
        </w:rPr>
      </w:pPr>
      <w:r>
        <w:rPr>
          <w:rFonts w:asciiTheme="minorHAnsi" w:hAnsiTheme="minorHAnsi" w:cstheme="minorHAnsi"/>
          <w:b/>
          <w:sz w:val="24"/>
          <w:szCs w:val="24"/>
        </w:rPr>
        <w:t>Internal Trust transfers to LCH or Admissions from Skegness, Johnson Hospital and from Clinics</w:t>
      </w:r>
    </w:p>
    <w:p w:rsidR="003E1E32" w:rsidRDefault="003E1E32" w:rsidP="003E1E32">
      <w:pPr>
        <w:pStyle w:val="PlainText"/>
        <w:rPr>
          <w:rFonts w:asciiTheme="minorHAnsi" w:hAnsiTheme="minorHAnsi" w:cstheme="minorHAnsi"/>
          <w:b/>
          <w:sz w:val="24"/>
          <w:szCs w:val="24"/>
        </w:rPr>
      </w:pPr>
    </w:p>
    <w:p w:rsidR="003E1E32" w:rsidRDefault="003E1E32" w:rsidP="003E1E32">
      <w:pPr>
        <w:pStyle w:val="PlainText"/>
        <w:numPr>
          <w:ilvl w:val="0"/>
          <w:numId w:val="70"/>
        </w:numPr>
        <w:rPr>
          <w:rFonts w:asciiTheme="minorHAnsi" w:hAnsiTheme="minorHAnsi" w:cstheme="minorHAnsi"/>
          <w:sz w:val="24"/>
          <w:szCs w:val="24"/>
        </w:rPr>
      </w:pPr>
      <w:r>
        <w:rPr>
          <w:rFonts w:asciiTheme="minorHAnsi" w:hAnsiTheme="minorHAnsi" w:cstheme="minorHAnsi"/>
          <w:sz w:val="24"/>
          <w:szCs w:val="24"/>
        </w:rPr>
        <w:t>The patient should be referred to the middle grade doctor of the appropriate specialty and the accepting doctor’s name documented in the patients’ notes prior to transfer.</w:t>
      </w:r>
    </w:p>
    <w:p w:rsidR="003E1E32" w:rsidRDefault="003E1E32" w:rsidP="003E1E32">
      <w:pPr>
        <w:pStyle w:val="PlainText"/>
        <w:numPr>
          <w:ilvl w:val="0"/>
          <w:numId w:val="71"/>
        </w:numPr>
        <w:rPr>
          <w:rFonts w:asciiTheme="minorHAnsi" w:hAnsiTheme="minorHAnsi" w:cstheme="minorHAnsi"/>
          <w:b/>
          <w:sz w:val="24"/>
          <w:szCs w:val="24"/>
        </w:rPr>
      </w:pPr>
      <w:r>
        <w:rPr>
          <w:rFonts w:asciiTheme="minorHAnsi" w:hAnsiTheme="minorHAnsi" w:cstheme="minorHAnsi"/>
          <w:sz w:val="24"/>
          <w:szCs w:val="24"/>
        </w:rPr>
        <w:t xml:space="preserve">A clear plan for the admission and actions to be taken should be documented in the notes. </w:t>
      </w:r>
    </w:p>
    <w:p w:rsidR="003E1E32" w:rsidRDefault="003E1E32" w:rsidP="003E1E32">
      <w:pPr>
        <w:pStyle w:val="PlainText"/>
        <w:numPr>
          <w:ilvl w:val="0"/>
          <w:numId w:val="71"/>
        </w:numPr>
        <w:rPr>
          <w:rFonts w:asciiTheme="minorHAnsi" w:hAnsiTheme="minorHAnsi" w:cstheme="minorHAnsi"/>
          <w:sz w:val="24"/>
          <w:szCs w:val="24"/>
        </w:rPr>
      </w:pPr>
      <w:r>
        <w:rPr>
          <w:rFonts w:asciiTheme="minorHAnsi" w:hAnsiTheme="minorHAnsi" w:cstheme="minorHAnsi"/>
          <w:sz w:val="24"/>
          <w:szCs w:val="24"/>
        </w:rPr>
        <w:t>The referring doctor should arrange and request any scans they deem appropriate for the care of the patient prior to transfer to ensure patient delays are minimised.</w:t>
      </w:r>
    </w:p>
    <w:p w:rsidR="003E1E32" w:rsidRDefault="003E1E32" w:rsidP="003E1E32">
      <w:pPr>
        <w:pStyle w:val="PlainText"/>
        <w:numPr>
          <w:ilvl w:val="0"/>
          <w:numId w:val="71"/>
        </w:numPr>
        <w:rPr>
          <w:rFonts w:asciiTheme="minorHAnsi" w:hAnsiTheme="minorHAnsi" w:cstheme="minorHAnsi"/>
          <w:sz w:val="24"/>
          <w:szCs w:val="24"/>
        </w:rPr>
      </w:pPr>
      <w:r>
        <w:rPr>
          <w:rFonts w:asciiTheme="minorHAnsi" w:hAnsiTheme="minorHAnsi" w:cstheme="minorHAnsi"/>
          <w:sz w:val="24"/>
          <w:szCs w:val="24"/>
        </w:rPr>
        <w:t>Treatment plans should be written clearly in the notes and prescriptions/drug cards completed.</w:t>
      </w:r>
    </w:p>
    <w:p w:rsidR="003E1E32" w:rsidRDefault="003E1E32" w:rsidP="003E1E32">
      <w:pPr>
        <w:pStyle w:val="PlainText"/>
        <w:rPr>
          <w:rFonts w:asciiTheme="minorHAnsi" w:hAnsiTheme="minorHAnsi" w:cstheme="minorHAnsi"/>
          <w:sz w:val="24"/>
          <w:szCs w:val="24"/>
        </w:rPr>
      </w:pPr>
    </w:p>
    <w:p w:rsidR="003E1E32" w:rsidRDefault="003E1E32" w:rsidP="003E1E32">
      <w:pPr>
        <w:pStyle w:val="PlainText"/>
        <w:rPr>
          <w:rFonts w:asciiTheme="minorHAnsi" w:hAnsiTheme="minorHAnsi" w:cstheme="minorHAnsi"/>
          <w:b/>
          <w:sz w:val="24"/>
          <w:szCs w:val="24"/>
        </w:rPr>
      </w:pPr>
      <w:r>
        <w:rPr>
          <w:rFonts w:asciiTheme="minorHAnsi" w:hAnsiTheme="minorHAnsi" w:cstheme="minorHAnsi"/>
          <w:b/>
          <w:sz w:val="24"/>
          <w:szCs w:val="24"/>
        </w:rPr>
        <w:t xml:space="preserve">All Admissions: </w:t>
      </w:r>
    </w:p>
    <w:p w:rsidR="003E1E32" w:rsidRDefault="003E1E32" w:rsidP="003E1E32">
      <w:pPr>
        <w:pStyle w:val="PlainText"/>
        <w:rPr>
          <w:rFonts w:asciiTheme="minorHAnsi" w:hAnsiTheme="minorHAnsi" w:cstheme="minorHAnsi"/>
          <w:b/>
          <w:sz w:val="24"/>
          <w:szCs w:val="24"/>
        </w:rPr>
      </w:pPr>
    </w:p>
    <w:p w:rsidR="003E1E32" w:rsidRDefault="003E1E32" w:rsidP="003E1E32">
      <w:pPr>
        <w:pStyle w:val="PlainText"/>
        <w:numPr>
          <w:ilvl w:val="0"/>
          <w:numId w:val="72"/>
        </w:numPr>
        <w:rPr>
          <w:rFonts w:asciiTheme="minorHAnsi" w:hAnsiTheme="minorHAnsi" w:cstheme="minorHAnsi"/>
          <w:sz w:val="24"/>
          <w:szCs w:val="24"/>
        </w:rPr>
      </w:pPr>
      <w:r>
        <w:rPr>
          <w:rFonts w:asciiTheme="minorHAnsi" w:hAnsiTheme="minorHAnsi" w:cstheme="minorHAnsi"/>
          <w:sz w:val="24"/>
          <w:szCs w:val="24"/>
        </w:rPr>
        <w:t>All acute admissions will be reviewed by the admitting consultant within a maximum of 14 hours of admission.</w:t>
      </w:r>
    </w:p>
    <w:p w:rsidR="003E1E32" w:rsidRDefault="003E1E32" w:rsidP="003E1E32">
      <w:pPr>
        <w:pStyle w:val="PlainText"/>
        <w:numPr>
          <w:ilvl w:val="0"/>
          <w:numId w:val="69"/>
        </w:numPr>
        <w:jc w:val="both"/>
        <w:rPr>
          <w:rFonts w:asciiTheme="minorHAnsi" w:hAnsiTheme="minorHAnsi" w:cstheme="minorHAnsi"/>
          <w:sz w:val="24"/>
          <w:szCs w:val="24"/>
        </w:rPr>
      </w:pPr>
      <w:r>
        <w:rPr>
          <w:rFonts w:asciiTheme="minorHAnsi" w:hAnsiTheme="minorHAnsi" w:cstheme="minorHAnsi"/>
          <w:sz w:val="24"/>
          <w:szCs w:val="24"/>
        </w:rPr>
        <w:t>All new patients admitted through the non-elective pathways must be seen by a senior clinician prior to transfer/discharge (ST3 or above).</w:t>
      </w:r>
    </w:p>
    <w:p w:rsidR="003E1E32" w:rsidRDefault="003E1E32" w:rsidP="003E1E32">
      <w:pPr>
        <w:pStyle w:val="PlainText"/>
        <w:numPr>
          <w:ilvl w:val="0"/>
          <w:numId w:val="69"/>
        </w:numPr>
        <w:jc w:val="both"/>
        <w:rPr>
          <w:rFonts w:asciiTheme="minorHAnsi" w:hAnsiTheme="minorHAnsi" w:cstheme="minorHAnsi"/>
          <w:sz w:val="24"/>
          <w:szCs w:val="24"/>
        </w:rPr>
      </w:pPr>
      <w:r>
        <w:rPr>
          <w:rFonts w:asciiTheme="minorHAnsi" w:hAnsiTheme="minorHAnsi" w:cstheme="minorHAnsi"/>
          <w:sz w:val="24"/>
          <w:szCs w:val="24"/>
        </w:rPr>
        <w:t xml:space="preserve">All admissions must have a </w:t>
      </w:r>
      <w:proofErr w:type="spellStart"/>
      <w:r>
        <w:rPr>
          <w:rFonts w:asciiTheme="minorHAnsi" w:hAnsiTheme="minorHAnsi" w:cstheme="minorHAnsi"/>
          <w:sz w:val="24"/>
          <w:szCs w:val="24"/>
        </w:rPr>
        <w:t>resus</w:t>
      </w:r>
      <w:proofErr w:type="spellEnd"/>
      <w:r>
        <w:rPr>
          <w:rFonts w:asciiTheme="minorHAnsi" w:hAnsiTheme="minorHAnsi" w:cstheme="minorHAnsi"/>
          <w:sz w:val="24"/>
          <w:szCs w:val="24"/>
        </w:rPr>
        <w:t xml:space="preserve"> status, ceiling of care and estimated date of discharge at/before consultant review.</w:t>
      </w:r>
    </w:p>
    <w:p w:rsidR="003E1E32" w:rsidRDefault="003E1E32" w:rsidP="003E1E32">
      <w:pPr>
        <w:pStyle w:val="PlainText"/>
        <w:numPr>
          <w:ilvl w:val="0"/>
          <w:numId w:val="69"/>
        </w:numPr>
        <w:jc w:val="both"/>
        <w:rPr>
          <w:rFonts w:asciiTheme="minorHAnsi" w:hAnsiTheme="minorHAnsi" w:cstheme="minorHAnsi"/>
          <w:sz w:val="24"/>
          <w:szCs w:val="24"/>
        </w:rPr>
      </w:pPr>
      <w:r>
        <w:rPr>
          <w:rFonts w:asciiTheme="minorHAnsi" w:hAnsiTheme="minorHAnsi" w:cstheme="minorHAnsi"/>
          <w:sz w:val="24"/>
          <w:szCs w:val="24"/>
        </w:rPr>
        <w:t>All patients referred during an on-call period must be seen by the admitting team and consultant on call, regardless of location e.g. coronary care/SAU/ICU/Emergency Department.</w:t>
      </w:r>
    </w:p>
    <w:p w:rsidR="003E1E32" w:rsidRDefault="003E1E32" w:rsidP="003E1E32">
      <w:pPr>
        <w:pStyle w:val="PlainText"/>
        <w:numPr>
          <w:ilvl w:val="0"/>
          <w:numId w:val="69"/>
        </w:numPr>
        <w:jc w:val="both"/>
        <w:rPr>
          <w:rFonts w:asciiTheme="minorHAnsi" w:hAnsiTheme="minorHAnsi" w:cstheme="minorHAnsi"/>
          <w:sz w:val="24"/>
          <w:szCs w:val="24"/>
        </w:rPr>
      </w:pPr>
      <w:r>
        <w:rPr>
          <w:rFonts w:asciiTheme="minorHAnsi" w:hAnsiTheme="minorHAnsi" w:cstheme="minorHAnsi"/>
          <w:sz w:val="24"/>
          <w:szCs w:val="24"/>
        </w:rPr>
        <w:t>A patient requiring speciality input must be seen by a consultant/registrar following referral</w:t>
      </w:r>
    </w:p>
    <w:p w:rsidR="003E1E32" w:rsidRDefault="003E1E32" w:rsidP="003E1E32">
      <w:pPr>
        <w:pStyle w:val="PlainText"/>
        <w:numPr>
          <w:ilvl w:val="0"/>
          <w:numId w:val="69"/>
        </w:numPr>
        <w:jc w:val="both"/>
        <w:rPr>
          <w:rFonts w:asciiTheme="minorHAnsi" w:hAnsiTheme="minorHAnsi" w:cstheme="minorHAnsi"/>
          <w:sz w:val="24"/>
          <w:szCs w:val="24"/>
        </w:rPr>
      </w:pPr>
      <w:r>
        <w:rPr>
          <w:rFonts w:asciiTheme="minorHAnsi" w:hAnsiTheme="minorHAnsi" w:cstheme="minorHAnsi"/>
          <w:sz w:val="24"/>
          <w:szCs w:val="24"/>
        </w:rPr>
        <w:t xml:space="preserve">All inpatient specialty referrals must be seen by a ST3 or above within a maximum of 24 hours, and have a plan of care documented and enacted.  </w:t>
      </w:r>
    </w:p>
    <w:p w:rsidR="003E1E32" w:rsidRDefault="003E1E32" w:rsidP="003E1E32">
      <w:pPr>
        <w:pStyle w:val="PlainText"/>
        <w:numPr>
          <w:ilvl w:val="0"/>
          <w:numId w:val="69"/>
        </w:numPr>
        <w:jc w:val="both"/>
        <w:rPr>
          <w:rFonts w:asciiTheme="minorHAnsi" w:hAnsiTheme="minorHAnsi" w:cstheme="minorHAnsi"/>
          <w:sz w:val="24"/>
          <w:szCs w:val="24"/>
        </w:rPr>
      </w:pPr>
      <w:r>
        <w:rPr>
          <w:rFonts w:asciiTheme="minorHAnsi" w:hAnsiTheme="minorHAnsi" w:cstheme="minorHAnsi"/>
          <w:sz w:val="24"/>
          <w:szCs w:val="24"/>
        </w:rPr>
        <w:lastRenderedPageBreak/>
        <w:t>If, on admission a patient is found to have/develops a condition that it is in the patient’s best interest to be managed by another speciality then care will be transferred to that speciality.  If this cannot be agreed this should be escalated to the Divisional Management team.</w:t>
      </w:r>
    </w:p>
    <w:p w:rsidR="003E1E32" w:rsidRDefault="003E1E32" w:rsidP="003E1E32">
      <w:pPr>
        <w:pStyle w:val="PlainText"/>
        <w:numPr>
          <w:ilvl w:val="0"/>
          <w:numId w:val="69"/>
        </w:numPr>
        <w:jc w:val="both"/>
        <w:rPr>
          <w:rFonts w:asciiTheme="minorHAnsi" w:hAnsiTheme="minorHAnsi" w:cstheme="minorHAnsi"/>
          <w:sz w:val="24"/>
          <w:szCs w:val="24"/>
        </w:rPr>
      </w:pPr>
      <w:r>
        <w:rPr>
          <w:rFonts w:asciiTheme="minorHAnsi" w:hAnsiTheme="minorHAnsi" w:cstheme="minorHAnsi"/>
          <w:sz w:val="24"/>
          <w:szCs w:val="24"/>
        </w:rPr>
        <w:t>Patients who are immediately post-operative should be managed on a surgical ward wherever possible or, as a minimum, have daily senior surgical input and surgical nursing care.</w:t>
      </w:r>
    </w:p>
    <w:p w:rsidR="003E1E32" w:rsidRDefault="003E1E32" w:rsidP="003E1E32">
      <w:pPr>
        <w:pStyle w:val="PlainText"/>
        <w:numPr>
          <w:ilvl w:val="0"/>
          <w:numId w:val="69"/>
        </w:numPr>
        <w:jc w:val="both"/>
        <w:rPr>
          <w:rFonts w:asciiTheme="minorHAnsi" w:hAnsiTheme="minorHAnsi" w:cstheme="minorHAnsi"/>
          <w:sz w:val="24"/>
          <w:szCs w:val="24"/>
        </w:rPr>
      </w:pPr>
      <w:r>
        <w:rPr>
          <w:rFonts w:asciiTheme="minorHAnsi" w:hAnsiTheme="minorHAnsi" w:cstheme="minorHAnsi"/>
          <w:sz w:val="24"/>
          <w:szCs w:val="24"/>
        </w:rPr>
        <w:t xml:space="preserve">Any patient admitted under joint care of 2 specialities must be seen by both consultants and there must be a direct conversation and agreement documented between the consultants regarding the on-going Care Plan. </w:t>
      </w:r>
    </w:p>
    <w:p w:rsidR="003E1E32" w:rsidRDefault="003E1E32" w:rsidP="003E1E32">
      <w:pPr>
        <w:pStyle w:val="PlainText"/>
        <w:numPr>
          <w:ilvl w:val="0"/>
          <w:numId w:val="69"/>
        </w:numPr>
        <w:jc w:val="both"/>
        <w:rPr>
          <w:rFonts w:asciiTheme="minorHAnsi" w:hAnsiTheme="minorHAnsi" w:cstheme="minorHAnsi"/>
          <w:sz w:val="24"/>
          <w:szCs w:val="24"/>
        </w:rPr>
      </w:pPr>
      <w:r>
        <w:rPr>
          <w:rFonts w:asciiTheme="minorHAnsi" w:hAnsiTheme="minorHAnsi" w:cstheme="minorHAnsi"/>
          <w:sz w:val="24"/>
          <w:szCs w:val="24"/>
        </w:rPr>
        <w:t>All inpatient investigations should be same day whenever possible, or maximum delay of 24 hours.</w:t>
      </w:r>
    </w:p>
    <w:p w:rsidR="003E1E32" w:rsidRDefault="003E1E32" w:rsidP="003E1E32">
      <w:pPr>
        <w:pStyle w:val="PlainText"/>
        <w:jc w:val="both"/>
        <w:rPr>
          <w:rFonts w:asciiTheme="minorHAnsi" w:hAnsiTheme="minorHAnsi" w:cstheme="minorHAnsi"/>
          <w:sz w:val="24"/>
          <w:szCs w:val="24"/>
        </w:rPr>
      </w:pPr>
    </w:p>
    <w:p w:rsidR="003E1E32" w:rsidRDefault="003E1E32" w:rsidP="003E1E32">
      <w:pPr>
        <w:pStyle w:val="PlainText"/>
        <w:rPr>
          <w:rFonts w:asciiTheme="minorHAnsi" w:hAnsiTheme="minorHAnsi" w:cstheme="minorHAnsi"/>
          <w:b/>
          <w:sz w:val="24"/>
          <w:szCs w:val="24"/>
        </w:rPr>
      </w:pPr>
      <w:r>
        <w:rPr>
          <w:rFonts w:asciiTheme="minorHAnsi" w:hAnsiTheme="minorHAnsi" w:cstheme="minorHAnsi"/>
          <w:b/>
          <w:sz w:val="24"/>
          <w:szCs w:val="24"/>
        </w:rPr>
        <w:t>Hospital at night (H@N)</w:t>
      </w:r>
    </w:p>
    <w:p w:rsidR="003E1E32" w:rsidRDefault="003E1E32" w:rsidP="003E1E32">
      <w:pPr>
        <w:pStyle w:val="PlainText"/>
        <w:rPr>
          <w:rFonts w:asciiTheme="minorHAnsi" w:hAnsiTheme="minorHAnsi" w:cstheme="minorHAnsi"/>
          <w:b/>
          <w:sz w:val="24"/>
          <w:szCs w:val="24"/>
        </w:rPr>
      </w:pPr>
    </w:p>
    <w:p w:rsidR="003E1E32" w:rsidRDefault="003E1E32" w:rsidP="003E1E32">
      <w:pPr>
        <w:pStyle w:val="PlainText"/>
        <w:numPr>
          <w:ilvl w:val="0"/>
          <w:numId w:val="69"/>
        </w:numPr>
        <w:jc w:val="both"/>
        <w:rPr>
          <w:rFonts w:asciiTheme="minorHAnsi" w:hAnsiTheme="minorHAnsi" w:cstheme="minorHAnsi"/>
          <w:sz w:val="24"/>
          <w:szCs w:val="24"/>
        </w:rPr>
      </w:pPr>
      <w:r>
        <w:rPr>
          <w:rFonts w:asciiTheme="minorHAnsi" w:hAnsiTheme="minorHAnsi" w:cstheme="minorHAnsi"/>
          <w:sz w:val="24"/>
          <w:szCs w:val="24"/>
        </w:rPr>
        <w:t>Hospital at Night includes the medical and surgical registrar, the surgical, orthopaedic and 3 medical T2 Doctors and the H@N Team Leader.</w:t>
      </w:r>
    </w:p>
    <w:p w:rsidR="003E1E32" w:rsidRDefault="003E1E32" w:rsidP="003E1E32">
      <w:pPr>
        <w:pStyle w:val="PlainText"/>
        <w:numPr>
          <w:ilvl w:val="0"/>
          <w:numId w:val="69"/>
        </w:numPr>
        <w:jc w:val="both"/>
        <w:rPr>
          <w:rFonts w:asciiTheme="minorHAnsi" w:hAnsiTheme="minorHAnsi" w:cstheme="minorHAnsi"/>
          <w:sz w:val="24"/>
          <w:szCs w:val="24"/>
        </w:rPr>
      </w:pPr>
      <w:r>
        <w:rPr>
          <w:rFonts w:asciiTheme="minorHAnsi" w:hAnsiTheme="minorHAnsi" w:cstheme="minorHAnsi"/>
          <w:sz w:val="24"/>
          <w:szCs w:val="24"/>
        </w:rPr>
        <w:t>All Doctors are expected to be working continuously and should report to the Team Leader once specific tasks are completed for allocation of further work.</w:t>
      </w:r>
    </w:p>
    <w:p w:rsidR="003E1E32" w:rsidRDefault="003E1E32" w:rsidP="003E1E32">
      <w:pPr>
        <w:pStyle w:val="PlainText"/>
        <w:numPr>
          <w:ilvl w:val="0"/>
          <w:numId w:val="69"/>
        </w:numPr>
        <w:jc w:val="both"/>
        <w:rPr>
          <w:rFonts w:asciiTheme="minorHAnsi" w:hAnsiTheme="minorHAnsi" w:cstheme="minorHAnsi"/>
          <w:sz w:val="24"/>
          <w:szCs w:val="24"/>
        </w:rPr>
      </w:pPr>
      <w:r>
        <w:rPr>
          <w:rFonts w:asciiTheme="minorHAnsi" w:hAnsiTheme="minorHAnsi" w:cstheme="minorHAnsi"/>
          <w:sz w:val="24"/>
          <w:szCs w:val="24"/>
        </w:rPr>
        <w:t>The Medical Registrar is the lead doctor and has the overall control of the team for all specialities.</w:t>
      </w:r>
    </w:p>
    <w:p w:rsidR="003E1E32" w:rsidRDefault="003E1E32" w:rsidP="003E1E32">
      <w:pPr>
        <w:pStyle w:val="PlainText"/>
        <w:numPr>
          <w:ilvl w:val="0"/>
          <w:numId w:val="69"/>
        </w:numPr>
        <w:jc w:val="both"/>
        <w:rPr>
          <w:rFonts w:asciiTheme="minorHAnsi" w:hAnsiTheme="minorHAnsi" w:cstheme="minorHAnsi"/>
          <w:sz w:val="24"/>
          <w:szCs w:val="24"/>
        </w:rPr>
      </w:pPr>
      <w:r>
        <w:rPr>
          <w:rFonts w:asciiTheme="minorHAnsi" w:hAnsiTheme="minorHAnsi" w:cstheme="minorHAnsi"/>
          <w:sz w:val="24"/>
          <w:szCs w:val="24"/>
        </w:rPr>
        <w:t>The Doctors are on-call for their speciality but can be re-allocated tasks by the Team Leader and Medical Registrar as required within their competences and work for H@N.  This includes review of patients not from their parent speciality.</w:t>
      </w:r>
    </w:p>
    <w:p w:rsidR="003E1E32" w:rsidRDefault="003E1E32" w:rsidP="003E1E32">
      <w:pPr>
        <w:pStyle w:val="PlainText"/>
        <w:numPr>
          <w:ilvl w:val="0"/>
          <w:numId w:val="69"/>
        </w:numPr>
        <w:jc w:val="both"/>
        <w:rPr>
          <w:rFonts w:asciiTheme="minorHAnsi" w:hAnsiTheme="minorHAnsi" w:cstheme="minorHAnsi"/>
          <w:sz w:val="24"/>
          <w:szCs w:val="24"/>
        </w:rPr>
      </w:pPr>
      <w:r>
        <w:rPr>
          <w:rFonts w:asciiTheme="minorHAnsi" w:hAnsiTheme="minorHAnsi" w:cstheme="minorHAnsi"/>
          <w:sz w:val="24"/>
          <w:szCs w:val="24"/>
        </w:rPr>
        <w:t xml:space="preserve">This cover extends across all wards (except paediatrics and Obstetrics &amp; Gynaecology who have a stand-alone rota), including the Emergency Department and is aimed at best patient care for all patients, addressing the greatest risk to patient safety at the time.  </w:t>
      </w:r>
    </w:p>
    <w:p w:rsidR="003E1E32" w:rsidRDefault="003E1E32" w:rsidP="003E1E32">
      <w:pPr>
        <w:pStyle w:val="PlainText"/>
        <w:jc w:val="both"/>
        <w:rPr>
          <w:rFonts w:asciiTheme="minorHAnsi" w:hAnsiTheme="minorHAnsi" w:cstheme="minorHAnsi"/>
          <w:sz w:val="24"/>
          <w:szCs w:val="24"/>
        </w:rPr>
      </w:pPr>
    </w:p>
    <w:p w:rsidR="003E1E32" w:rsidRDefault="003E1E32" w:rsidP="003E1E32">
      <w:pPr>
        <w:pStyle w:val="PlainText"/>
        <w:rPr>
          <w:rFonts w:asciiTheme="minorHAnsi" w:hAnsiTheme="minorHAnsi" w:cstheme="minorHAnsi"/>
          <w:b/>
          <w:sz w:val="24"/>
          <w:szCs w:val="24"/>
        </w:rPr>
      </w:pPr>
      <w:r>
        <w:rPr>
          <w:rFonts w:asciiTheme="minorHAnsi" w:hAnsiTheme="minorHAnsi" w:cstheme="minorHAnsi"/>
          <w:b/>
          <w:sz w:val="24"/>
          <w:szCs w:val="24"/>
        </w:rPr>
        <w:t>Emergency Care Speciality Input in AMU, Daily 9am-5pm</w:t>
      </w:r>
    </w:p>
    <w:p w:rsidR="003E1E32" w:rsidRDefault="003E1E32" w:rsidP="003E1E32">
      <w:pPr>
        <w:pStyle w:val="PlainText"/>
        <w:ind w:firstLine="720"/>
        <w:rPr>
          <w:rFonts w:asciiTheme="minorHAnsi" w:hAnsiTheme="minorHAnsi" w:cstheme="minorHAnsi"/>
          <w:b/>
          <w:sz w:val="24"/>
          <w:szCs w:val="24"/>
        </w:rPr>
      </w:pPr>
    </w:p>
    <w:p w:rsidR="003E1E32" w:rsidRDefault="003E1E32" w:rsidP="003E1E32">
      <w:pPr>
        <w:pStyle w:val="PlainText"/>
        <w:numPr>
          <w:ilvl w:val="0"/>
          <w:numId w:val="73"/>
        </w:numPr>
        <w:rPr>
          <w:rFonts w:asciiTheme="minorHAnsi" w:hAnsiTheme="minorHAnsi" w:cstheme="minorHAnsi"/>
          <w:sz w:val="24"/>
          <w:szCs w:val="24"/>
        </w:rPr>
      </w:pPr>
      <w:r>
        <w:rPr>
          <w:rFonts w:asciiTheme="minorHAnsi" w:hAnsiTheme="minorHAnsi" w:cstheme="minorHAnsi"/>
          <w:sz w:val="24"/>
          <w:szCs w:val="24"/>
        </w:rPr>
        <w:t>Patients on the Acute Medical Unit who have been referred to a speciality will be seen as soon as possible within normal working hours.</w:t>
      </w:r>
    </w:p>
    <w:p w:rsidR="003E1E32" w:rsidRDefault="003E1E32" w:rsidP="003E1E32">
      <w:pPr>
        <w:pStyle w:val="PlainText"/>
        <w:numPr>
          <w:ilvl w:val="0"/>
          <w:numId w:val="73"/>
        </w:numPr>
        <w:rPr>
          <w:rFonts w:asciiTheme="minorHAnsi" w:hAnsiTheme="minorHAnsi" w:cstheme="minorHAnsi"/>
          <w:sz w:val="24"/>
          <w:szCs w:val="24"/>
        </w:rPr>
      </w:pPr>
      <w:r>
        <w:rPr>
          <w:rFonts w:asciiTheme="minorHAnsi" w:hAnsiTheme="minorHAnsi" w:cstheme="minorHAnsi"/>
          <w:sz w:val="24"/>
          <w:szCs w:val="24"/>
        </w:rPr>
        <w:t>Specialty patients must be seen and accepted by the appropriate speciality and actively “pulled” to that ward. They must be seen daily by a consultant of that speciality until transferred from the Acute Medical Unit.</w:t>
      </w:r>
    </w:p>
    <w:p w:rsidR="003E1E32" w:rsidRDefault="003E1E32" w:rsidP="003E1E32">
      <w:pPr>
        <w:pStyle w:val="PlainText"/>
        <w:numPr>
          <w:ilvl w:val="0"/>
          <w:numId w:val="73"/>
        </w:numPr>
        <w:rPr>
          <w:rFonts w:asciiTheme="minorHAnsi" w:hAnsiTheme="minorHAnsi" w:cstheme="minorHAnsi"/>
          <w:sz w:val="24"/>
          <w:szCs w:val="24"/>
        </w:rPr>
      </w:pPr>
      <w:r>
        <w:rPr>
          <w:rFonts w:asciiTheme="minorHAnsi" w:hAnsiTheme="minorHAnsi" w:cstheme="minorHAnsi"/>
          <w:sz w:val="24"/>
          <w:szCs w:val="24"/>
        </w:rPr>
        <w:t>Speciality input to the Acute Medical Unit should be at least twice daily, e.g. am, pm</w:t>
      </w:r>
    </w:p>
    <w:p w:rsidR="003E1E32" w:rsidRDefault="003E1E32" w:rsidP="003E1E32">
      <w:pPr>
        <w:pStyle w:val="PlainText"/>
        <w:rPr>
          <w:rFonts w:asciiTheme="minorHAnsi" w:hAnsiTheme="minorHAnsi" w:cstheme="minorHAnsi"/>
          <w:b/>
          <w:sz w:val="24"/>
          <w:szCs w:val="24"/>
        </w:rPr>
      </w:pPr>
    </w:p>
    <w:p w:rsidR="003E1E32" w:rsidRDefault="003E1E32" w:rsidP="003E1E32">
      <w:pPr>
        <w:pStyle w:val="PlainText"/>
        <w:rPr>
          <w:rFonts w:asciiTheme="minorHAnsi" w:hAnsiTheme="minorHAnsi" w:cstheme="minorHAnsi"/>
          <w:b/>
          <w:sz w:val="24"/>
          <w:szCs w:val="24"/>
        </w:rPr>
      </w:pPr>
    </w:p>
    <w:p w:rsidR="003E1E32" w:rsidRDefault="003E1E32" w:rsidP="003E1E32">
      <w:pPr>
        <w:pStyle w:val="PlainText"/>
        <w:rPr>
          <w:rFonts w:asciiTheme="minorHAnsi" w:hAnsiTheme="minorHAnsi" w:cstheme="minorHAnsi"/>
          <w:b/>
          <w:sz w:val="24"/>
          <w:szCs w:val="24"/>
        </w:rPr>
      </w:pPr>
      <w:r>
        <w:rPr>
          <w:rFonts w:asciiTheme="minorHAnsi" w:hAnsiTheme="minorHAnsi" w:cstheme="minorHAnsi"/>
          <w:b/>
          <w:sz w:val="24"/>
          <w:szCs w:val="24"/>
        </w:rPr>
        <w:t>Emergency Care Input – Other Specialities</w:t>
      </w:r>
    </w:p>
    <w:p w:rsidR="003E1E32" w:rsidRDefault="003E1E32" w:rsidP="003E1E32">
      <w:pPr>
        <w:pStyle w:val="PlainText"/>
        <w:rPr>
          <w:rFonts w:asciiTheme="minorHAnsi" w:hAnsiTheme="minorHAnsi" w:cstheme="minorHAnsi"/>
          <w:b/>
          <w:sz w:val="24"/>
          <w:szCs w:val="24"/>
        </w:rPr>
      </w:pPr>
    </w:p>
    <w:p w:rsidR="003E1E32" w:rsidRDefault="003E1E32" w:rsidP="003E1E32">
      <w:pPr>
        <w:pStyle w:val="PlainText"/>
        <w:numPr>
          <w:ilvl w:val="0"/>
          <w:numId w:val="74"/>
        </w:numPr>
        <w:ind w:left="709" w:hanging="283"/>
        <w:rPr>
          <w:rFonts w:asciiTheme="minorHAnsi" w:hAnsiTheme="minorHAnsi" w:cstheme="minorHAnsi"/>
          <w:sz w:val="24"/>
          <w:szCs w:val="24"/>
        </w:rPr>
      </w:pPr>
      <w:r>
        <w:rPr>
          <w:rFonts w:asciiTheme="minorHAnsi" w:hAnsiTheme="minorHAnsi" w:cstheme="minorHAnsi"/>
          <w:sz w:val="24"/>
          <w:szCs w:val="24"/>
        </w:rPr>
        <w:t>Haematology patients should be phoned through to the Consultant Haematologist on-call 0800-2400hrs daily. Overnight referrals should be made before the night team leave the AMU.</w:t>
      </w:r>
    </w:p>
    <w:p w:rsidR="003E1E32" w:rsidRDefault="003E1E32" w:rsidP="003E1E32">
      <w:pPr>
        <w:pStyle w:val="PlainText"/>
        <w:numPr>
          <w:ilvl w:val="0"/>
          <w:numId w:val="74"/>
        </w:numPr>
        <w:ind w:left="709" w:hanging="283"/>
        <w:rPr>
          <w:rFonts w:asciiTheme="minorHAnsi" w:hAnsiTheme="minorHAnsi" w:cstheme="minorHAnsi"/>
          <w:sz w:val="24"/>
          <w:szCs w:val="24"/>
        </w:rPr>
      </w:pPr>
      <w:r>
        <w:rPr>
          <w:rFonts w:asciiTheme="minorHAnsi" w:hAnsiTheme="minorHAnsi" w:cstheme="minorHAnsi"/>
          <w:sz w:val="24"/>
          <w:szCs w:val="24"/>
        </w:rPr>
        <w:t>Neurology Referrals: E-referral</w:t>
      </w:r>
    </w:p>
    <w:p w:rsidR="003E1E32" w:rsidRDefault="003E1E32" w:rsidP="003E1E32">
      <w:pPr>
        <w:pStyle w:val="PlainText"/>
        <w:numPr>
          <w:ilvl w:val="0"/>
          <w:numId w:val="74"/>
        </w:numPr>
        <w:ind w:left="709" w:hanging="283"/>
        <w:rPr>
          <w:rFonts w:asciiTheme="minorHAnsi" w:hAnsiTheme="minorHAnsi" w:cstheme="minorHAnsi"/>
          <w:sz w:val="24"/>
          <w:szCs w:val="24"/>
        </w:rPr>
      </w:pPr>
      <w:r>
        <w:rPr>
          <w:rFonts w:asciiTheme="minorHAnsi" w:hAnsiTheme="minorHAnsi" w:cstheme="minorHAnsi"/>
          <w:sz w:val="24"/>
          <w:szCs w:val="24"/>
        </w:rPr>
        <w:lastRenderedPageBreak/>
        <w:t xml:space="preserve">Rheumatology Referrals: E-referral </w:t>
      </w:r>
    </w:p>
    <w:p w:rsidR="003E1E32" w:rsidRDefault="003E1E32" w:rsidP="003E1E32">
      <w:pPr>
        <w:pStyle w:val="PlainText"/>
        <w:numPr>
          <w:ilvl w:val="0"/>
          <w:numId w:val="74"/>
        </w:numPr>
        <w:ind w:left="709" w:hanging="283"/>
        <w:rPr>
          <w:rFonts w:asciiTheme="minorHAnsi" w:hAnsiTheme="minorHAnsi" w:cstheme="minorHAnsi"/>
          <w:sz w:val="24"/>
          <w:szCs w:val="24"/>
        </w:rPr>
      </w:pPr>
      <w:r>
        <w:rPr>
          <w:rFonts w:asciiTheme="minorHAnsi" w:hAnsiTheme="minorHAnsi" w:cstheme="minorHAnsi"/>
          <w:sz w:val="24"/>
          <w:szCs w:val="24"/>
        </w:rPr>
        <w:t>In the event of an ‘Urgent Referral’ the relevant consultant should be contacted via their mobile during normal working hours.</w:t>
      </w:r>
    </w:p>
    <w:p w:rsidR="003E1E32" w:rsidRDefault="003E1E32" w:rsidP="003E1E32">
      <w:pPr>
        <w:pStyle w:val="PlainText"/>
        <w:rPr>
          <w:rFonts w:asciiTheme="minorHAnsi" w:hAnsiTheme="minorHAnsi" w:cstheme="minorHAnsi"/>
          <w:sz w:val="24"/>
          <w:szCs w:val="24"/>
        </w:rPr>
      </w:pPr>
    </w:p>
    <w:p w:rsidR="003E1E32" w:rsidRDefault="003E1E32" w:rsidP="003E1E32">
      <w:pPr>
        <w:pStyle w:val="PlainText"/>
        <w:rPr>
          <w:rFonts w:asciiTheme="minorHAnsi" w:hAnsiTheme="minorHAnsi" w:cstheme="minorHAnsi"/>
          <w:b/>
          <w:sz w:val="24"/>
          <w:szCs w:val="24"/>
        </w:rPr>
      </w:pPr>
      <w:r>
        <w:rPr>
          <w:rFonts w:asciiTheme="minorHAnsi" w:hAnsiTheme="minorHAnsi" w:cstheme="minorHAnsi"/>
          <w:b/>
          <w:sz w:val="24"/>
          <w:szCs w:val="24"/>
        </w:rPr>
        <w:t>Weekend working</w:t>
      </w:r>
    </w:p>
    <w:p w:rsidR="003E1E32" w:rsidRDefault="003E1E32" w:rsidP="003E1E32">
      <w:pPr>
        <w:pStyle w:val="PlainText"/>
        <w:rPr>
          <w:rFonts w:asciiTheme="minorHAnsi" w:hAnsiTheme="minorHAnsi" w:cstheme="minorHAnsi"/>
          <w:b/>
          <w:sz w:val="24"/>
          <w:szCs w:val="24"/>
        </w:rPr>
      </w:pPr>
    </w:p>
    <w:p w:rsidR="003E1E32" w:rsidRDefault="003E1E32" w:rsidP="003E1E32">
      <w:pPr>
        <w:pStyle w:val="PlainText"/>
        <w:rPr>
          <w:rFonts w:asciiTheme="minorHAnsi" w:hAnsiTheme="minorHAnsi" w:cstheme="minorHAnsi"/>
          <w:sz w:val="24"/>
          <w:szCs w:val="24"/>
        </w:rPr>
      </w:pPr>
      <w:r>
        <w:rPr>
          <w:rFonts w:asciiTheme="minorHAnsi" w:hAnsiTheme="minorHAnsi" w:cstheme="minorHAnsi"/>
          <w:sz w:val="24"/>
          <w:szCs w:val="24"/>
        </w:rPr>
        <w:t>The Consultant speciality on-call for the weekend will see all the following patients:</w:t>
      </w:r>
    </w:p>
    <w:p w:rsidR="003E1E32" w:rsidRDefault="003E1E32" w:rsidP="003E1E32">
      <w:pPr>
        <w:pStyle w:val="PlainText"/>
        <w:numPr>
          <w:ilvl w:val="0"/>
          <w:numId w:val="75"/>
        </w:numPr>
        <w:rPr>
          <w:rFonts w:asciiTheme="minorHAnsi" w:hAnsiTheme="minorHAnsi" w:cstheme="minorHAnsi"/>
          <w:sz w:val="24"/>
          <w:szCs w:val="24"/>
        </w:rPr>
      </w:pPr>
      <w:r>
        <w:rPr>
          <w:rFonts w:asciiTheme="minorHAnsi" w:hAnsiTheme="minorHAnsi" w:cstheme="minorHAnsi"/>
          <w:sz w:val="24"/>
          <w:szCs w:val="24"/>
        </w:rPr>
        <w:t>All sick patients as identified through handover</w:t>
      </w:r>
    </w:p>
    <w:p w:rsidR="003E1E32" w:rsidRDefault="003E1E32" w:rsidP="003E1E32">
      <w:pPr>
        <w:pStyle w:val="PlainText"/>
        <w:numPr>
          <w:ilvl w:val="0"/>
          <w:numId w:val="75"/>
        </w:numPr>
        <w:rPr>
          <w:rFonts w:asciiTheme="minorHAnsi" w:hAnsiTheme="minorHAnsi" w:cstheme="minorHAnsi"/>
          <w:sz w:val="24"/>
          <w:szCs w:val="24"/>
        </w:rPr>
      </w:pPr>
      <w:r>
        <w:rPr>
          <w:rFonts w:asciiTheme="minorHAnsi" w:hAnsiTheme="minorHAnsi" w:cstheme="minorHAnsi"/>
          <w:sz w:val="24"/>
          <w:szCs w:val="24"/>
        </w:rPr>
        <w:t>Any new patients on base or paired outlying wards</w:t>
      </w:r>
    </w:p>
    <w:p w:rsidR="003E1E32" w:rsidRDefault="003E1E32" w:rsidP="003E1E32">
      <w:pPr>
        <w:pStyle w:val="PlainText"/>
        <w:numPr>
          <w:ilvl w:val="0"/>
          <w:numId w:val="75"/>
        </w:numPr>
        <w:rPr>
          <w:rFonts w:asciiTheme="minorHAnsi" w:hAnsiTheme="minorHAnsi" w:cstheme="minorHAnsi"/>
          <w:sz w:val="24"/>
          <w:szCs w:val="24"/>
        </w:rPr>
      </w:pPr>
      <w:r>
        <w:rPr>
          <w:rFonts w:asciiTheme="minorHAnsi" w:hAnsiTheme="minorHAnsi" w:cstheme="minorHAnsi"/>
          <w:sz w:val="24"/>
          <w:szCs w:val="24"/>
        </w:rPr>
        <w:t>Any patient who is appropriate or for possible discharge</w:t>
      </w:r>
    </w:p>
    <w:p w:rsidR="003E1E32" w:rsidRDefault="003E1E32" w:rsidP="003E1E32">
      <w:pPr>
        <w:pStyle w:val="PlainText"/>
        <w:numPr>
          <w:ilvl w:val="0"/>
          <w:numId w:val="75"/>
        </w:numPr>
        <w:rPr>
          <w:rFonts w:asciiTheme="minorHAnsi" w:hAnsiTheme="minorHAnsi" w:cstheme="minorHAnsi"/>
          <w:sz w:val="24"/>
          <w:szCs w:val="24"/>
        </w:rPr>
      </w:pPr>
      <w:r>
        <w:rPr>
          <w:rFonts w:asciiTheme="minorHAnsi" w:hAnsiTheme="minorHAnsi" w:cstheme="minorHAnsi"/>
          <w:sz w:val="24"/>
          <w:szCs w:val="24"/>
        </w:rPr>
        <w:t xml:space="preserve">Any patient for speciality review on the AMU. </w:t>
      </w:r>
    </w:p>
    <w:p w:rsidR="003E1E32" w:rsidRDefault="003E1E32" w:rsidP="003E1E32">
      <w:pPr>
        <w:pStyle w:val="PlainText"/>
        <w:rPr>
          <w:rFonts w:asciiTheme="minorHAnsi" w:hAnsiTheme="minorHAnsi" w:cstheme="minorHAnsi"/>
          <w:sz w:val="24"/>
          <w:szCs w:val="24"/>
        </w:rPr>
      </w:pPr>
    </w:p>
    <w:p w:rsidR="003E1E32" w:rsidRDefault="003E1E32" w:rsidP="003E1E32">
      <w:pPr>
        <w:pStyle w:val="PlainText"/>
        <w:rPr>
          <w:rFonts w:asciiTheme="minorHAnsi" w:hAnsiTheme="minorHAnsi" w:cstheme="minorHAnsi"/>
          <w:sz w:val="24"/>
          <w:szCs w:val="24"/>
        </w:rPr>
      </w:pPr>
      <w:r>
        <w:rPr>
          <w:rFonts w:asciiTheme="minorHAnsi" w:hAnsiTheme="minorHAnsi" w:cstheme="minorHAnsi"/>
          <w:sz w:val="24"/>
          <w:szCs w:val="24"/>
        </w:rPr>
        <w:t>The junior doctors for each floor will support the consultant as required.</w:t>
      </w:r>
    </w:p>
    <w:p w:rsidR="003E1E32" w:rsidRDefault="003E1E32" w:rsidP="003E1E32">
      <w:pPr>
        <w:pStyle w:val="PlainText"/>
        <w:rPr>
          <w:rFonts w:asciiTheme="minorHAnsi" w:hAnsiTheme="minorHAnsi" w:cstheme="minorHAnsi"/>
          <w:sz w:val="24"/>
          <w:szCs w:val="24"/>
        </w:rPr>
      </w:pPr>
    </w:p>
    <w:p w:rsidR="003E1E32" w:rsidRDefault="003E1E32" w:rsidP="003E1E32">
      <w:pPr>
        <w:pStyle w:val="PlainText"/>
        <w:rPr>
          <w:rFonts w:asciiTheme="minorHAnsi" w:hAnsiTheme="minorHAnsi" w:cstheme="minorHAnsi"/>
          <w:b/>
          <w:sz w:val="24"/>
          <w:szCs w:val="24"/>
        </w:rPr>
      </w:pPr>
    </w:p>
    <w:p w:rsidR="003E1E32" w:rsidRDefault="003E1E32" w:rsidP="003E1E32">
      <w:pPr>
        <w:pStyle w:val="PlainText"/>
        <w:rPr>
          <w:rFonts w:asciiTheme="minorHAnsi" w:hAnsiTheme="minorHAnsi" w:cstheme="minorHAnsi"/>
          <w:b/>
          <w:sz w:val="24"/>
          <w:szCs w:val="24"/>
        </w:rPr>
      </w:pPr>
    </w:p>
    <w:p w:rsidR="003E1E32" w:rsidRDefault="003E1E32" w:rsidP="003E1E32">
      <w:pPr>
        <w:pStyle w:val="PlainText"/>
        <w:rPr>
          <w:rFonts w:asciiTheme="minorHAnsi" w:hAnsiTheme="minorHAnsi" w:cstheme="minorHAnsi"/>
          <w:b/>
          <w:sz w:val="24"/>
          <w:szCs w:val="24"/>
        </w:rPr>
      </w:pPr>
    </w:p>
    <w:p w:rsidR="003E1E32" w:rsidRDefault="003E1E32" w:rsidP="003E1E32">
      <w:pPr>
        <w:pStyle w:val="PlainText"/>
        <w:rPr>
          <w:rFonts w:asciiTheme="minorHAnsi" w:hAnsiTheme="minorHAnsi" w:cstheme="minorHAnsi"/>
          <w:b/>
          <w:sz w:val="24"/>
          <w:szCs w:val="24"/>
        </w:rPr>
      </w:pPr>
      <w:r>
        <w:rPr>
          <w:rFonts w:asciiTheme="minorHAnsi" w:hAnsiTheme="minorHAnsi" w:cstheme="minorHAnsi"/>
          <w:b/>
          <w:sz w:val="24"/>
          <w:szCs w:val="24"/>
        </w:rPr>
        <w:t>Consultation:</w:t>
      </w:r>
    </w:p>
    <w:p w:rsidR="003E1E32" w:rsidRDefault="003E1E32" w:rsidP="003E1E32">
      <w:pPr>
        <w:pStyle w:val="PlainText"/>
        <w:rPr>
          <w:rFonts w:asciiTheme="minorHAnsi" w:hAnsiTheme="minorHAnsi" w:cstheme="minorHAnsi"/>
          <w:b/>
          <w:sz w:val="24"/>
          <w:szCs w:val="24"/>
        </w:rPr>
      </w:pPr>
    </w:p>
    <w:p w:rsidR="003E1E32" w:rsidRDefault="003E1E32" w:rsidP="003E1E32">
      <w:pPr>
        <w:pStyle w:val="PlainText"/>
        <w:rPr>
          <w:rFonts w:asciiTheme="minorHAnsi" w:hAnsiTheme="minorHAnsi" w:cstheme="minorHAnsi"/>
          <w:b/>
          <w:sz w:val="24"/>
          <w:szCs w:val="24"/>
        </w:rPr>
      </w:pPr>
      <w:r>
        <w:rPr>
          <w:rFonts w:asciiTheme="minorHAnsi" w:hAnsiTheme="minorHAnsi" w:cstheme="minorHAnsi"/>
          <w:b/>
          <w:sz w:val="24"/>
          <w:szCs w:val="24"/>
        </w:rPr>
        <w:t>This document needs approval from following individuals / groups…</w:t>
      </w:r>
    </w:p>
    <w:p w:rsidR="003E1E32" w:rsidRDefault="003E1E32" w:rsidP="003E1E32">
      <w:pPr>
        <w:pStyle w:val="PlainText"/>
        <w:rPr>
          <w:rFonts w:asciiTheme="minorHAnsi" w:hAnsiTheme="minorHAnsi" w:cstheme="minorHAnsi"/>
          <w:b/>
          <w:sz w:val="24"/>
          <w:szCs w:val="24"/>
        </w:rPr>
      </w:pPr>
      <w:r>
        <w:rPr>
          <w:rFonts w:asciiTheme="minorHAnsi" w:hAnsiTheme="minorHAnsi" w:cstheme="minorHAnsi"/>
          <w:b/>
          <w:sz w:val="24"/>
          <w:szCs w:val="24"/>
        </w:rPr>
        <w:t xml:space="preserve"> </w:t>
      </w:r>
    </w:p>
    <w:p w:rsidR="003E1E32" w:rsidRDefault="003E1E32" w:rsidP="003E1E32">
      <w:pPr>
        <w:pStyle w:val="PlainText"/>
        <w:rPr>
          <w:rFonts w:asciiTheme="minorHAnsi" w:hAnsiTheme="minorHAnsi" w:cstheme="minorHAnsi"/>
          <w:sz w:val="24"/>
          <w:szCs w:val="24"/>
        </w:rPr>
      </w:pPr>
      <w:proofErr w:type="spellStart"/>
      <w:r>
        <w:rPr>
          <w:rFonts w:asciiTheme="minorHAnsi" w:hAnsiTheme="minorHAnsi" w:cstheme="minorHAnsi"/>
          <w:sz w:val="24"/>
          <w:szCs w:val="24"/>
        </w:rPr>
        <w:t>Dr.</w:t>
      </w:r>
      <w:proofErr w:type="spellEnd"/>
      <w:r>
        <w:rPr>
          <w:rFonts w:asciiTheme="minorHAnsi" w:hAnsiTheme="minorHAnsi" w:cstheme="minorHAnsi"/>
          <w:sz w:val="24"/>
          <w:szCs w:val="24"/>
        </w:rPr>
        <w:t xml:space="preserve"> </w:t>
      </w:r>
      <w:r w:rsidR="00336A14" w:rsidRPr="00336A14">
        <w:rPr>
          <w:rFonts w:asciiTheme="minorHAnsi" w:hAnsiTheme="minorHAnsi" w:cstheme="minorHAnsi"/>
          <w:sz w:val="24"/>
          <w:szCs w:val="24"/>
          <w:highlight w:val="black"/>
        </w:rPr>
        <w:t>XXXXXXXX</w:t>
      </w:r>
      <w:r>
        <w:rPr>
          <w:rFonts w:asciiTheme="minorHAnsi" w:hAnsiTheme="minorHAnsi" w:cstheme="minorHAnsi"/>
          <w:sz w:val="24"/>
          <w:szCs w:val="24"/>
        </w:rPr>
        <w:t>, Medical Director</w:t>
      </w:r>
    </w:p>
    <w:p w:rsidR="003E1E32" w:rsidRDefault="003E1E32" w:rsidP="003E1E32">
      <w:pPr>
        <w:pStyle w:val="PlainText"/>
        <w:rPr>
          <w:rFonts w:asciiTheme="minorHAnsi" w:hAnsiTheme="minorHAnsi" w:cstheme="minorHAnsi"/>
          <w:sz w:val="24"/>
          <w:szCs w:val="24"/>
        </w:rPr>
      </w:pPr>
      <w:proofErr w:type="spellStart"/>
      <w:r>
        <w:rPr>
          <w:rFonts w:asciiTheme="minorHAnsi" w:hAnsiTheme="minorHAnsi" w:cstheme="minorHAnsi"/>
          <w:sz w:val="24"/>
          <w:szCs w:val="24"/>
        </w:rPr>
        <w:t>Dr.</w:t>
      </w:r>
      <w:proofErr w:type="spellEnd"/>
      <w:r>
        <w:rPr>
          <w:rFonts w:asciiTheme="minorHAnsi" w:hAnsiTheme="minorHAnsi" w:cstheme="minorHAnsi"/>
          <w:sz w:val="24"/>
          <w:szCs w:val="24"/>
        </w:rPr>
        <w:t xml:space="preserve"> </w:t>
      </w:r>
      <w:r w:rsidR="00336A14" w:rsidRPr="00336A14">
        <w:rPr>
          <w:rFonts w:asciiTheme="minorHAnsi" w:hAnsiTheme="minorHAnsi" w:cstheme="minorHAnsi"/>
          <w:sz w:val="24"/>
          <w:szCs w:val="24"/>
          <w:highlight w:val="black"/>
        </w:rPr>
        <w:t>XXXXXXXX</w:t>
      </w:r>
      <w:r>
        <w:rPr>
          <w:rFonts w:asciiTheme="minorHAnsi" w:hAnsiTheme="minorHAnsi" w:cstheme="minorHAnsi"/>
          <w:sz w:val="24"/>
          <w:szCs w:val="24"/>
        </w:rPr>
        <w:t>, CD, Emergency Care</w:t>
      </w:r>
    </w:p>
    <w:p w:rsidR="003E1E32" w:rsidRDefault="003E1E32" w:rsidP="003E1E32">
      <w:pPr>
        <w:pStyle w:val="PlainText"/>
        <w:rPr>
          <w:rFonts w:asciiTheme="minorHAnsi" w:hAnsiTheme="minorHAnsi" w:cstheme="minorHAnsi"/>
          <w:sz w:val="24"/>
          <w:szCs w:val="24"/>
        </w:rPr>
      </w:pPr>
      <w:r>
        <w:rPr>
          <w:rFonts w:asciiTheme="minorHAnsi" w:hAnsiTheme="minorHAnsi" w:cstheme="minorHAnsi"/>
          <w:sz w:val="24"/>
          <w:szCs w:val="24"/>
        </w:rPr>
        <w:t>ED Clinical Team</w:t>
      </w:r>
    </w:p>
    <w:p w:rsidR="003E1E32" w:rsidRDefault="00336A14" w:rsidP="003E1E32">
      <w:pPr>
        <w:pStyle w:val="PlainText"/>
        <w:rPr>
          <w:rFonts w:asciiTheme="minorHAnsi" w:hAnsiTheme="minorHAnsi" w:cstheme="minorHAnsi"/>
          <w:sz w:val="24"/>
          <w:szCs w:val="24"/>
        </w:rPr>
      </w:pPr>
      <w:r w:rsidRPr="00336A14">
        <w:rPr>
          <w:rFonts w:asciiTheme="minorHAnsi" w:hAnsiTheme="minorHAnsi" w:cstheme="minorHAnsi"/>
          <w:sz w:val="24"/>
          <w:szCs w:val="24"/>
          <w:highlight w:val="black"/>
        </w:rPr>
        <w:t>XXXXXXXXXX</w:t>
      </w:r>
      <w:r w:rsidR="003E1E32">
        <w:rPr>
          <w:rFonts w:asciiTheme="minorHAnsi" w:hAnsiTheme="minorHAnsi" w:cstheme="minorHAnsi"/>
          <w:sz w:val="24"/>
          <w:szCs w:val="24"/>
        </w:rPr>
        <w:t>, Head of Nursing</w:t>
      </w:r>
    </w:p>
    <w:p w:rsidR="003E1E32" w:rsidRDefault="00336A14" w:rsidP="003E1E32">
      <w:pPr>
        <w:pStyle w:val="PlainText"/>
        <w:rPr>
          <w:rFonts w:asciiTheme="minorHAnsi" w:hAnsiTheme="minorHAnsi" w:cstheme="minorHAnsi"/>
          <w:sz w:val="24"/>
          <w:szCs w:val="24"/>
        </w:rPr>
      </w:pPr>
      <w:r w:rsidRPr="00336A14">
        <w:rPr>
          <w:rFonts w:asciiTheme="minorHAnsi" w:hAnsiTheme="minorHAnsi" w:cstheme="minorHAnsi"/>
          <w:sz w:val="24"/>
          <w:szCs w:val="24"/>
          <w:highlight w:val="black"/>
        </w:rPr>
        <w:t>XXXXXXXXXX</w:t>
      </w:r>
      <w:r w:rsidR="003E1E32">
        <w:rPr>
          <w:rFonts w:asciiTheme="minorHAnsi" w:hAnsiTheme="minorHAnsi" w:cstheme="minorHAnsi"/>
          <w:sz w:val="24"/>
          <w:szCs w:val="24"/>
        </w:rPr>
        <w:t>, General Manager</w:t>
      </w:r>
    </w:p>
    <w:p w:rsidR="003E1E32" w:rsidRDefault="003E1E32" w:rsidP="003E1E32">
      <w:pPr>
        <w:pStyle w:val="PlainText"/>
        <w:rPr>
          <w:rFonts w:asciiTheme="minorHAnsi" w:hAnsiTheme="minorHAnsi" w:cstheme="minorHAnsi"/>
          <w:sz w:val="24"/>
          <w:szCs w:val="24"/>
        </w:rPr>
      </w:pPr>
      <w:proofErr w:type="spellStart"/>
      <w:r>
        <w:rPr>
          <w:rFonts w:asciiTheme="minorHAnsi" w:hAnsiTheme="minorHAnsi" w:cstheme="minorHAnsi"/>
          <w:sz w:val="24"/>
          <w:szCs w:val="24"/>
        </w:rPr>
        <w:t>Prof.</w:t>
      </w:r>
      <w:proofErr w:type="spellEnd"/>
      <w:r>
        <w:rPr>
          <w:rFonts w:asciiTheme="minorHAnsi" w:hAnsiTheme="minorHAnsi" w:cstheme="minorHAnsi"/>
          <w:sz w:val="24"/>
          <w:szCs w:val="24"/>
        </w:rPr>
        <w:t xml:space="preserve"> </w:t>
      </w:r>
      <w:r w:rsidR="00336A14" w:rsidRPr="00336A14">
        <w:rPr>
          <w:rFonts w:asciiTheme="minorHAnsi" w:hAnsiTheme="minorHAnsi" w:cstheme="minorHAnsi"/>
          <w:sz w:val="24"/>
          <w:szCs w:val="24"/>
          <w:highlight w:val="black"/>
        </w:rPr>
        <w:t>XXXXXXXX</w:t>
      </w:r>
      <w:r>
        <w:rPr>
          <w:rFonts w:asciiTheme="minorHAnsi" w:hAnsiTheme="minorHAnsi" w:cstheme="minorHAnsi"/>
          <w:sz w:val="24"/>
          <w:szCs w:val="24"/>
        </w:rPr>
        <w:t>, CD, Clinical Services</w:t>
      </w:r>
    </w:p>
    <w:p w:rsidR="003E1E32" w:rsidRDefault="003E1E32" w:rsidP="003E1E32">
      <w:pPr>
        <w:pStyle w:val="PlainText"/>
        <w:rPr>
          <w:rFonts w:asciiTheme="minorHAnsi" w:hAnsiTheme="minorHAnsi" w:cstheme="minorHAnsi"/>
          <w:sz w:val="24"/>
          <w:szCs w:val="24"/>
        </w:rPr>
      </w:pPr>
      <w:r>
        <w:rPr>
          <w:rFonts w:asciiTheme="minorHAnsi" w:hAnsiTheme="minorHAnsi" w:cstheme="minorHAnsi"/>
          <w:sz w:val="24"/>
          <w:szCs w:val="24"/>
        </w:rPr>
        <w:t xml:space="preserve">Mr. </w:t>
      </w:r>
      <w:r w:rsidR="00336A14" w:rsidRPr="00336A14">
        <w:rPr>
          <w:rFonts w:asciiTheme="minorHAnsi" w:hAnsiTheme="minorHAnsi" w:cstheme="minorHAnsi"/>
          <w:sz w:val="24"/>
          <w:szCs w:val="24"/>
          <w:highlight w:val="black"/>
        </w:rPr>
        <w:t>XXXXXXXXXXXX</w:t>
      </w:r>
      <w:r>
        <w:rPr>
          <w:rFonts w:asciiTheme="minorHAnsi" w:hAnsiTheme="minorHAnsi" w:cstheme="minorHAnsi"/>
          <w:sz w:val="24"/>
          <w:szCs w:val="24"/>
        </w:rPr>
        <w:t>, CD, General and Vascular Surgery</w:t>
      </w:r>
    </w:p>
    <w:p w:rsidR="003E1E32" w:rsidRDefault="003E1E32" w:rsidP="003E1E32">
      <w:pPr>
        <w:pStyle w:val="PlainText"/>
        <w:rPr>
          <w:rFonts w:asciiTheme="minorHAnsi" w:hAnsiTheme="minorHAnsi" w:cstheme="minorHAnsi"/>
          <w:sz w:val="24"/>
          <w:szCs w:val="24"/>
        </w:rPr>
      </w:pPr>
      <w:r>
        <w:rPr>
          <w:rFonts w:asciiTheme="minorHAnsi" w:hAnsiTheme="minorHAnsi" w:cstheme="minorHAnsi"/>
          <w:sz w:val="24"/>
          <w:szCs w:val="24"/>
        </w:rPr>
        <w:t xml:space="preserve">Mr. </w:t>
      </w:r>
      <w:r w:rsidR="00336A14" w:rsidRPr="00336A14">
        <w:rPr>
          <w:rFonts w:asciiTheme="minorHAnsi" w:hAnsiTheme="minorHAnsi" w:cstheme="minorHAnsi"/>
          <w:sz w:val="24"/>
          <w:szCs w:val="24"/>
          <w:highlight w:val="black"/>
        </w:rPr>
        <w:t>XXXXXXXXXXX</w:t>
      </w:r>
      <w:r>
        <w:rPr>
          <w:rFonts w:asciiTheme="minorHAnsi" w:hAnsiTheme="minorHAnsi" w:cstheme="minorHAnsi"/>
          <w:sz w:val="24"/>
          <w:szCs w:val="24"/>
        </w:rPr>
        <w:t>, CD, Orthopaedics</w:t>
      </w:r>
    </w:p>
    <w:p w:rsidR="003E1E32" w:rsidRDefault="003E1E32" w:rsidP="003E1E32">
      <w:pPr>
        <w:pStyle w:val="PlainText"/>
        <w:rPr>
          <w:rFonts w:asciiTheme="minorHAnsi" w:hAnsiTheme="minorHAnsi" w:cstheme="minorHAnsi"/>
          <w:sz w:val="24"/>
          <w:szCs w:val="24"/>
        </w:rPr>
      </w:pPr>
      <w:r>
        <w:rPr>
          <w:rFonts w:asciiTheme="minorHAnsi" w:hAnsiTheme="minorHAnsi" w:cstheme="minorHAnsi"/>
          <w:sz w:val="24"/>
          <w:szCs w:val="24"/>
        </w:rPr>
        <w:t xml:space="preserve">Mr. </w:t>
      </w:r>
      <w:r w:rsidR="00336A14" w:rsidRPr="00336A14">
        <w:rPr>
          <w:rFonts w:asciiTheme="minorHAnsi" w:hAnsiTheme="minorHAnsi" w:cstheme="minorHAnsi"/>
          <w:sz w:val="24"/>
          <w:szCs w:val="24"/>
          <w:highlight w:val="black"/>
        </w:rPr>
        <w:t>XXXXXXXXX</w:t>
      </w:r>
      <w:r>
        <w:rPr>
          <w:rFonts w:asciiTheme="minorHAnsi" w:hAnsiTheme="minorHAnsi" w:cstheme="minorHAnsi"/>
          <w:sz w:val="24"/>
          <w:szCs w:val="24"/>
        </w:rPr>
        <w:t>, CD, ENT, Ophthalmology, Max Fax Surgery</w:t>
      </w:r>
    </w:p>
    <w:p w:rsidR="003E1E32" w:rsidRDefault="003E1E32" w:rsidP="003E1E32">
      <w:pPr>
        <w:pStyle w:val="PlainText"/>
        <w:rPr>
          <w:rFonts w:asciiTheme="minorHAnsi" w:hAnsiTheme="minorHAnsi" w:cstheme="minorHAnsi"/>
          <w:sz w:val="24"/>
          <w:szCs w:val="24"/>
        </w:rPr>
      </w:pPr>
      <w:r>
        <w:rPr>
          <w:rFonts w:asciiTheme="minorHAnsi" w:hAnsiTheme="minorHAnsi" w:cstheme="minorHAnsi"/>
          <w:sz w:val="24"/>
          <w:szCs w:val="24"/>
        </w:rPr>
        <w:t xml:space="preserve">Ms. </w:t>
      </w:r>
      <w:r w:rsidR="00336A14" w:rsidRPr="00336A14">
        <w:rPr>
          <w:rFonts w:asciiTheme="minorHAnsi" w:hAnsiTheme="minorHAnsi" w:cstheme="minorHAnsi"/>
          <w:sz w:val="24"/>
          <w:szCs w:val="24"/>
          <w:highlight w:val="black"/>
        </w:rPr>
        <w:t>XXXXXXXXXXX</w:t>
      </w:r>
      <w:r w:rsidRPr="00336A14">
        <w:rPr>
          <w:rFonts w:asciiTheme="minorHAnsi" w:hAnsiTheme="minorHAnsi" w:cstheme="minorHAnsi"/>
          <w:sz w:val="24"/>
          <w:szCs w:val="24"/>
          <w:highlight w:val="black"/>
        </w:rPr>
        <w:t xml:space="preserve"> </w:t>
      </w:r>
      <w:r>
        <w:rPr>
          <w:rFonts w:asciiTheme="minorHAnsi" w:hAnsiTheme="minorHAnsi" w:cstheme="minorHAnsi"/>
          <w:sz w:val="24"/>
          <w:szCs w:val="24"/>
        </w:rPr>
        <w:t xml:space="preserve">/ Mrs. </w:t>
      </w:r>
      <w:r w:rsidR="00336A14" w:rsidRPr="00336A14">
        <w:rPr>
          <w:rFonts w:asciiTheme="minorHAnsi" w:hAnsiTheme="minorHAnsi" w:cstheme="minorHAnsi"/>
          <w:sz w:val="24"/>
          <w:szCs w:val="24"/>
          <w:highlight w:val="black"/>
        </w:rPr>
        <w:t>XXXXXXXXXXXXX</w:t>
      </w:r>
      <w:r>
        <w:rPr>
          <w:rFonts w:asciiTheme="minorHAnsi" w:hAnsiTheme="minorHAnsi" w:cstheme="minorHAnsi"/>
          <w:sz w:val="24"/>
          <w:szCs w:val="24"/>
        </w:rPr>
        <w:t>, HOS, Ob-Gyn.</w:t>
      </w:r>
    </w:p>
    <w:p w:rsidR="003E1E32" w:rsidRDefault="00336A14" w:rsidP="003E1E32">
      <w:pPr>
        <w:pStyle w:val="PlainText"/>
        <w:rPr>
          <w:rFonts w:asciiTheme="minorHAnsi" w:hAnsiTheme="minorHAnsi" w:cstheme="minorHAnsi"/>
          <w:sz w:val="24"/>
          <w:szCs w:val="24"/>
        </w:rPr>
      </w:pPr>
      <w:r w:rsidRPr="00336A14">
        <w:rPr>
          <w:rFonts w:asciiTheme="minorHAnsi" w:hAnsiTheme="minorHAnsi" w:cstheme="minorHAnsi"/>
          <w:sz w:val="24"/>
          <w:szCs w:val="24"/>
          <w:highlight w:val="black"/>
        </w:rPr>
        <w:t>XXXXXXXXXXX</w:t>
      </w:r>
      <w:r w:rsidR="003E1E32">
        <w:rPr>
          <w:rFonts w:asciiTheme="minorHAnsi" w:hAnsiTheme="minorHAnsi" w:cstheme="minorHAnsi"/>
          <w:sz w:val="24"/>
          <w:szCs w:val="24"/>
        </w:rPr>
        <w:t>, Director of Operations</w:t>
      </w:r>
    </w:p>
    <w:p w:rsidR="003E1E32" w:rsidRDefault="00336A14" w:rsidP="003E1E32">
      <w:pPr>
        <w:pStyle w:val="PlainText"/>
        <w:rPr>
          <w:rFonts w:asciiTheme="minorHAnsi" w:hAnsiTheme="minorHAnsi" w:cstheme="minorHAnsi"/>
          <w:sz w:val="24"/>
          <w:szCs w:val="24"/>
        </w:rPr>
      </w:pPr>
      <w:r w:rsidRPr="00336A14">
        <w:rPr>
          <w:rFonts w:asciiTheme="minorHAnsi" w:hAnsiTheme="minorHAnsi" w:cstheme="minorHAnsi"/>
          <w:sz w:val="24"/>
          <w:szCs w:val="24"/>
          <w:highlight w:val="black"/>
        </w:rPr>
        <w:t>XXXXXXXXXXX</w:t>
      </w:r>
      <w:r w:rsidR="003E1E32">
        <w:rPr>
          <w:rFonts w:asciiTheme="minorHAnsi" w:hAnsiTheme="minorHAnsi" w:cstheme="minorHAnsi"/>
          <w:sz w:val="24"/>
          <w:szCs w:val="24"/>
        </w:rPr>
        <w:t>, Chief Operating Officer</w:t>
      </w:r>
    </w:p>
    <w:p w:rsidR="003E1E32" w:rsidRDefault="003E1E32" w:rsidP="003E1E32">
      <w:pPr>
        <w:rPr>
          <w:rFonts w:asciiTheme="minorHAnsi" w:hAnsiTheme="minorHAnsi"/>
          <w:szCs w:val="24"/>
        </w:rPr>
      </w:pPr>
    </w:p>
    <w:p w:rsidR="009E4C9E" w:rsidRDefault="009E4C9E">
      <w:pPr>
        <w:spacing w:after="200" w:line="276" w:lineRule="auto"/>
        <w:rPr>
          <w:lang w:eastAsia="en-GB"/>
        </w:rPr>
      </w:pPr>
      <w:r>
        <w:rPr>
          <w:lang w:eastAsia="en-GB"/>
        </w:rPr>
        <w:br w:type="page"/>
      </w:r>
    </w:p>
    <w:p w:rsidR="003E1E32" w:rsidRDefault="000141DA" w:rsidP="000141DA">
      <w:pPr>
        <w:pStyle w:val="Heading1"/>
        <w:rPr>
          <w:lang w:eastAsia="en-GB"/>
        </w:rPr>
      </w:pPr>
      <w:bookmarkStart w:id="227" w:name="_Toc105665244"/>
      <w:r>
        <w:rPr>
          <w:lang w:eastAsia="en-GB"/>
        </w:rPr>
        <w:lastRenderedPageBreak/>
        <w:t>Appendix O:  Benefits Plan and Register</w:t>
      </w:r>
      <w:bookmarkEnd w:id="227"/>
    </w:p>
    <w:p w:rsidR="000141DA" w:rsidRDefault="000141DA" w:rsidP="000141DA">
      <w:pPr>
        <w:rPr>
          <w:lang w:eastAsia="en-GB"/>
        </w:rPr>
      </w:pPr>
    </w:p>
    <w:bookmarkStart w:id="228" w:name="_Toc105665245"/>
    <w:bookmarkStart w:id="229" w:name="_MON_1717244435"/>
    <w:bookmarkEnd w:id="229"/>
    <w:p w:rsidR="00AD2DD3" w:rsidRDefault="00AD2DD3">
      <w:pPr>
        <w:spacing w:after="200" w:line="276" w:lineRule="auto"/>
        <w:rPr>
          <w:lang w:eastAsia="en-GB"/>
        </w:rPr>
      </w:pPr>
      <w:r>
        <w:rPr>
          <w:lang w:eastAsia="en-GB"/>
        </w:rPr>
        <w:object w:dxaOrig="1537" w:dyaOrig="9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5pt;height:49.7pt" o:ole="">
            <v:imagedata r:id="rId57" o:title=""/>
          </v:shape>
          <o:OLEObject Type="Embed" ProgID="Word.Document.12" ShapeID="_x0000_i1025" DrawAspect="Icon" ObjectID="_1722934608" r:id="rId58">
            <o:FieldCodes>\s</o:FieldCodes>
          </o:OLEObject>
        </w:object>
      </w:r>
      <w:r>
        <w:rPr>
          <w:lang w:eastAsia="en-GB"/>
        </w:rPr>
        <w:object w:dxaOrig="1537" w:dyaOrig="994">
          <v:shape id="_x0000_i1026" type="#_x0000_t75" style="width:76.85pt;height:49.7pt" o:ole="">
            <v:imagedata r:id="rId59" o:title=""/>
          </v:shape>
          <o:OLEObject Type="Embed" ProgID="Excel.Sheet.12" ShapeID="_x0000_i1026" DrawAspect="Icon" ObjectID="_1722934609" r:id="rId60"/>
        </w:object>
      </w:r>
    </w:p>
    <w:p w:rsidR="00AD2DD3" w:rsidRDefault="00AD2DD3">
      <w:pPr>
        <w:spacing w:after="200" w:line="276" w:lineRule="auto"/>
        <w:rPr>
          <w:rFonts w:asciiTheme="majorHAnsi" w:eastAsiaTheme="majorEastAsia" w:hAnsiTheme="majorHAnsi" w:cstheme="majorBidi"/>
          <w:color w:val="365F91" w:themeColor="accent1" w:themeShade="BF"/>
          <w:sz w:val="32"/>
          <w:szCs w:val="32"/>
          <w:lang w:eastAsia="en-GB"/>
        </w:rPr>
      </w:pPr>
      <w:r>
        <w:rPr>
          <w:lang w:eastAsia="en-GB"/>
        </w:rPr>
        <w:br w:type="page"/>
      </w:r>
    </w:p>
    <w:p w:rsidR="000141DA" w:rsidRDefault="00AB7707" w:rsidP="00AB7707">
      <w:pPr>
        <w:pStyle w:val="Heading1"/>
        <w:rPr>
          <w:lang w:eastAsia="en-GB"/>
        </w:rPr>
      </w:pPr>
      <w:r>
        <w:rPr>
          <w:lang w:eastAsia="en-GB"/>
        </w:rPr>
        <w:lastRenderedPageBreak/>
        <w:t>Appendix P: Risk Register</w:t>
      </w:r>
      <w:bookmarkEnd w:id="228"/>
    </w:p>
    <w:p w:rsidR="00AB7707" w:rsidRDefault="00AB7707" w:rsidP="00AB7707">
      <w:pPr>
        <w:rPr>
          <w:lang w:eastAsia="en-GB"/>
        </w:rPr>
      </w:pPr>
    </w:p>
    <w:p w:rsidR="00AB7707" w:rsidRDefault="00AB7707" w:rsidP="00AB7707">
      <w:pPr>
        <w:rPr>
          <w:lang w:eastAsia="en-GB"/>
        </w:rPr>
      </w:pPr>
      <w:r>
        <w:rPr>
          <w:lang w:eastAsia="en-GB"/>
        </w:rPr>
        <w:t>Attached is a copy of the current risk register as at 3</w:t>
      </w:r>
      <w:r w:rsidRPr="00AB7707">
        <w:rPr>
          <w:vertAlign w:val="superscript"/>
          <w:lang w:eastAsia="en-GB"/>
        </w:rPr>
        <w:t>rd</w:t>
      </w:r>
      <w:r>
        <w:rPr>
          <w:lang w:eastAsia="en-GB"/>
        </w:rPr>
        <w:t xml:space="preserve"> February 2022.</w:t>
      </w:r>
    </w:p>
    <w:p w:rsidR="00AB7707" w:rsidRDefault="00AB7707" w:rsidP="00AB7707">
      <w:pPr>
        <w:rPr>
          <w:lang w:eastAsia="en-GB"/>
        </w:rPr>
      </w:pPr>
    </w:p>
    <w:p w:rsidR="00AB7707" w:rsidRDefault="00AB7707">
      <w:pPr>
        <w:spacing w:after="200" w:line="276" w:lineRule="auto"/>
        <w:rPr>
          <w:lang w:eastAsia="en-GB"/>
        </w:rPr>
      </w:pPr>
      <w:r>
        <w:rPr>
          <w:lang w:eastAsia="en-GB"/>
        </w:rPr>
        <w:br w:type="page"/>
      </w:r>
    </w:p>
    <w:p w:rsidR="00AB7707" w:rsidRDefault="00AB7707" w:rsidP="00AB7707">
      <w:pPr>
        <w:rPr>
          <w:lang w:eastAsia="en-GB"/>
        </w:rPr>
        <w:sectPr w:rsidR="00AB7707" w:rsidSect="00841096">
          <w:pgSz w:w="11906" w:h="16838"/>
          <w:pgMar w:top="1440" w:right="1440" w:bottom="1440" w:left="1440" w:header="709" w:footer="709" w:gutter="0"/>
          <w:cols w:space="708"/>
          <w:docGrid w:linePitch="360"/>
        </w:sectPr>
      </w:pPr>
    </w:p>
    <w:p w:rsidR="00AB7707" w:rsidRDefault="00AB7707" w:rsidP="00AB7707">
      <w:pPr>
        <w:rPr>
          <w:lang w:eastAsia="en-GB"/>
        </w:rPr>
      </w:pPr>
      <w:r w:rsidRPr="00AB7707">
        <w:rPr>
          <w:noProof/>
          <w:lang w:eastAsia="en-GB"/>
        </w:rPr>
        <w:lastRenderedPageBreak/>
        <w:drawing>
          <wp:inline distT="0" distB="0" distL="0" distR="0" wp14:anchorId="2F5B22C3" wp14:editId="2E094070">
            <wp:extent cx="8268335" cy="573151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268335" cy="5731510"/>
                    </a:xfrm>
                    <a:prstGeom prst="rect">
                      <a:avLst/>
                    </a:prstGeom>
                  </pic:spPr>
                </pic:pic>
              </a:graphicData>
            </a:graphic>
          </wp:inline>
        </w:drawing>
      </w:r>
    </w:p>
    <w:p w:rsidR="00AB7707" w:rsidRDefault="00AB7707" w:rsidP="00AB7707">
      <w:pPr>
        <w:rPr>
          <w:lang w:eastAsia="en-GB"/>
        </w:rPr>
      </w:pPr>
      <w:r w:rsidRPr="00AB7707">
        <w:rPr>
          <w:noProof/>
          <w:lang w:eastAsia="en-GB"/>
        </w:rPr>
        <w:lastRenderedPageBreak/>
        <w:drawing>
          <wp:inline distT="0" distB="0" distL="0" distR="0" wp14:anchorId="5B224CC0" wp14:editId="4D2035F0">
            <wp:extent cx="8250555" cy="573151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8250555" cy="5731510"/>
                    </a:xfrm>
                    <a:prstGeom prst="rect">
                      <a:avLst/>
                    </a:prstGeom>
                  </pic:spPr>
                </pic:pic>
              </a:graphicData>
            </a:graphic>
          </wp:inline>
        </w:drawing>
      </w:r>
    </w:p>
    <w:p w:rsidR="00AB7707" w:rsidRDefault="00AB7707" w:rsidP="00AB7707">
      <w:pPr>
        <w:rPr>
          <w:lang w:eastAsia="en-GB"/>
        </w:rPr>
      </w:pPr>
      <w:r w:rsidRPr="00AB7707">
        <w:rPr>
          <w:noProof/>
          <w:lang w:eastAsia="en-GB"/>
        </w:rPr>
        <w:lastRenderedPageBreak/>
        <w:drawing>
          <wp:inline distT="0" distB="0" distL="0" distR="0" wp14:anchorId="40A7CF57" wp14:editId="1192E6E8">
            <wp:extent cx="8253095" cy="573151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8253095" cy="5731510"/>
                    </a:xfrm>
                    <a:prstGeom prst="rect">
                      <a:avLst/>
                    </a:prstGeom>
                  </pic:spPr>
                </pic:pic>
              </a:graphicData>
            </a:graphic>
          </wp:inline>
        </w:drawing>
      </w:r>
    </w:p>
    <w:p w:rsidR="00AB7707" w:rsidRDefault="00AB7707" w:rsidP="00AB7707">
      <w:pPr>
        <w:rPr>
          <w:lang w:eastAsia="en-GB"/>
        </w:rPr>
      </w:pPr>
      <w:r w:rsidRPr="00AB7707">
        <w:rPr>
          <w:noProof/>
          <w:lang w:eastAsia="en-GB"/>
        </w:rPr>
        <w:lastRenderedPageBreak/>
        <w:drawing>
          <wp:inline distT="0" distB="0" distL="0" distR="0" wp14:anchorId="4C48ED4B" wp14:editId="06FA14BC">
            <wp:extent cx="8225790" cy="5731510"/>
            <wp:effectExtent l="0" t="0" r="381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8225790" cy="5731510"/>
                    </a:xfrm>
                    <a:prstGeom prst="rect">
                      <a:avLst/>
                    </a:prstGeom>
                  </pic:spPr>
                </pic:pic>
              </a:graphicData>
            </a:graphic>
          </wp:inline>
        </w:drawing>
      </w:r>
    </w:p>
    <w:p w:rsidR="00AB7707" w:rsidRDefault="00AB7707" w:rsidP="00AB7707">
      <w:pPr>
        <w:rPr>
          <w:lang w:eastAsia="en-GB"/>
        </w:rPr>
      </w:pPr>
      <w:r w:rsidRPr="00AB7707">
        <w:rPr>
          <w:noProof/>
          <w:lang w:eastAsia="en-GB"/>
        </w:rPr>
        <w:lastRenderedPageBreak/>
        <w:drawing>
          <wp:inline distT="0" distB="0" distL="0" distR="0" wp14:anchorId="6BAA97FA" wp14:editId="2ED00300">
            <wp:extent cx="8348980" cy="57315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8348980" cy="5731510"/>
                    </a:xfrm>
                    <a:prstGeom prst="rect">
                      <a:avLst/>
                    </a:prstGeom>
                  </pic:spPr>
                </pic:pic>
              </a:graphicData>
            </a:graphic>
          </wp:inline>
        </w:drawing>
      </w:r>
    </w:p>
    <w:p w:rsidR="00AB7707" w:rsidRDefault="00AB7707" w:rsidP="00AB7707">
      <w:pPr>
        <w:rPr>
          <w:lang w:eastAsia="en-GB"/>
        </w:rPr>
      </w:pPr>
      <w:r w:rsidRPr="00AB7707">
        <w:rPr>
          <w:noProof/>
          <w:lang w:eastAsia="en-GB"/>
        </w:rPr>
        <w:lastRenderedPageBreak/>
        <w:drawing>
          <wp:inline distT="0" distB="0" distL="0" distR="0" wp14:anchorId="4268372C" wp14:editId="570BE46C">
            <wp:extent cx="8274050" cy="573151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8274050" cy="5731510"/>
                    </a:xfrm>
                    <a:prstGeom prst="rect">
                      <a:avLst/>
                    </a:prstGeom>
                  </pic:spPr>
                </pic:pic>
              </a:graphicData>
            </a:graphic>
          </wp:inline>
        </w:drawing>
      </w:r>
    </w:p>
    <w:p w:rsidR="00AB7707" w:rsidRDefault="00AB7707" w:rsidP="00AB7707">
      <w:pPr>
        <w:rPr>
          <w:lang w:eastAsia="en-GB"/>
        </w:rPr>
        <w:sectPr w:rsidR="00AB7707" w:rsidSect="00AB7707">
          <w:pgSz w:w="16838" w:h="11906" w:orient="landscape"/>
          <w:pgMar w:top="1440" w:right="1440" w:bottom="1440" w:left="1440" w:header="709" w:footer="709" w:gutter="0"/>
          <w:cols w:space="708"/>
          <w:docGrid w:linePitch="360"/>
        </w:sectPr>
      </w:pPr>
    </w:p>
    <w:p w:rsidR="00AB7707" w:rsidRDefault="00AB7707" w:rsidP="00AB7707">
      <w:pPr>
        <w:pStyle w:val="Heading1"/>
        <w:rPr>
          <w:lang w:eastAsia="en-GB"/>
        </w:rPr>
      </w:pPr>
      <w:bookmarkStart w:id="230" w:name="_Toc105665246"/>
      <w:r>
        <w:rPr>
          <w:lang w:eastAsia="en-GB"/>
        </w:rPr>
        <w:lastRenderedPageBreak/>
        <w:t xml:space="preserve">Appendix Q:  Project </w:t>
      </w:r>
      <w:r w:rsidR="00034942">
        <w:rPr>
          <w:lang w:eastAsia="en-GB"/>
        </w:rPr>
        <w:t xml:space="preserve">Execution </w:t>
      </w:r>
      <w:r>
        <w:rPr>
          <w:lang w:eastAsia="en-GB"/>
        </w:rPr>
        <w:t>Plan</w:t>
      </w:r>
      <w:bookmarkEnd w:id="230"/>
    </w:p>
    <w:p w:rsidR="00AB7707" w:rsidRDefault="00AB7707" w:rsidP="00AB7707">
      <w:pPr>
        <w:rPr>
          <w:lang w:eastAsia="en-GB"/>
        </w:rPr>
      </w:pPr>
    </w:p>
    <w:p w:rsidR="00AB7707" w:rsidRDefault="00336A14" w:rsidP="008B1E25">
      <w:pPr>
        <w:spacing w:after="200" w:line="276" w:lineRule="auto"/>
        <w:rPr>
          <w:lang w:eastAsia="en-GB"/>
        </w:rPr>
      </w:pPr>
      <w:r>
        <w:rPr>
          <w:lang w:eastAsia="en-GB"/>
        </w:rPr>
        <w:t>Removed - sensitive</w:t>
      </w:r>
    </w:p>
    <w:p w:rsidR="00F607BD" w:rsidRDefault="00F607BD" w:rsidP="008B1E25">
      <w:pPr>
        <w:spacing w:after="200" w:line="276" w:lineRule="auto"/>
        <w:rPr>
          <w:lang w:eastAsia="en-GB"/>
        </w:rPr>
      </w:pPr>
    </w:p>
    <w:p w:rsidR="00034942" w:rsidRDefault="00034942" w:rsidP="008B1E25">
      <w:pPr>
        <w:spacing w:after="200" w:line="276" w:lineRule="auto"/>
        <w:rPr>
          <w:lang w:eastAsia="en-GB"/>
        </w:rPr>
        <w:sectPr w:rsidR="00034942" w:rsidSect="00AB7707">
          <w:pgSz w:w="11906" w:h="16838"/>
          <w:pgMar w:top="1440" w:right="1440" w:bottom="1440" w:left="1440" w:header="709" w:footer="709" w:gutter="0"/>
          <w:cols w:space="708"/>
          <w:docGrid w:linePitch="360"/>
        </w:sectPr>
      </w:pPr>
    </w:p>
    <w:p w:rsidR="004A29C3" w:rsidRDefault="004A29C3" w:rsidP="00AB7707">
      <w:pPr>
        <w:rPr>
          <w:lang w:eastAsia="en-GB"/>
        </w:rPr>
      </w:pPr>
    </w:p>
    <w:p w:rsidR="004A29C3" w:rsidRDefault="00A23B1B" w:rsidP="00A23B1B">
      <w:pPr>
        <w:pStyle w:val="Heading1"/>
        <w:rPr>
          <w:lang w:eastAsia="en-GB"/>
        </w:rPr>
      </w:pPr>
      <w:bookmarkStart w:id="231" w:name="_Toc105665247"/>
      <w:r>
        <w:rPr>
          <w:lang w:eastAsia="en-GB"/>
        </w:rPr>
        <w:t>Appendix R:  Projects Leads CV’s</w:t>
      </w:r>
      <w:bookmarkEnd w:id="231"/>
    </w:p>
    <w:p w:rsidR="00A23B1B" w:rsidRDefault="00A23B1B" w:rsidP="00A23B1B">
      <w:pPr>
        <w:rPr>
          <w:lang w:eastAsia="en-GB"/>
        </w:rPr>
      </w:pPr>
    </w:p>
    <w:p w:rsidR="00A23B1B" w:rsidRDefault="00A23B1B" w:rsidP="00336A14">
      <w:pPr>
        <w:textAlignment w:val="baseline"/>
        <w:rPr>
          <w:lang w:eastAsia="en-GB"/>
        </w:rPr>
      </w:pPr>
      <w:r>
        <w:rPr>
          <w:rFonts w:ascii="Perpetua" w:eastAsia="Times New Roman" w:hAnsi="Perpetua" w:cs="Times New Roman"/>
          <w:color w:val="000000"/>
          <w:sz w:val="22"/>
          <w:lang w:val="en-US" w:eastAsia="en-GB"/>
        </w:rPr>
        <w:t> </w:t>
      </w:r>
      <w:r w:rsidR="00336A14">
        <w:rPr>
          <w:rFonts w:ascii="Perpetua" w:eastAsia="Times New Roman" w:hAnsi="Perpetua" w:cs="Times New Roman"/>
          <w:color w:val="000000"/>
          <w:sz w:val="22"/>
          <w:lang w:val="en-US" w:eastAsia="en-GB"/>
        </w:rPr>
        <w:t>Removed - GDPR</w:t>
      </w:r>
    </w:p>
    <w:p w:rsidR="00336A14" w:rsidRDefault="00336A14">
      <w:pPr>
        <w:spacing w:after="200" w:line="276" w:lineRule="auto"/>
        <w:rPr>
          <w:rFonts w:asciiTheme="majorHAnsi" w:eastAsiaTheme="majorEastAsia" w:hAnsiTheme="majorHAnsi" w:cstheme="majorBidi"/>
          <w:color w:val="365F91" w:themeColor="accent1" w:themeShade="BF"/>
          <w:sz w:val="32"/>
          <w:szCs w:val="32"/>
          <w:lang w:eastAsia="en-GB"/>
        </w:rPr>
      </w:pPr>
      <w:bookmarkStart w:id="232" w:name="_Toc105665249"/>
      <w:r>
        <w:rPr>
          <w:lang w:eastAsia="en-GB"/>
        </w:rPr>
        <w:br w:type="page"/>
      </w:r>
    </w:p>
    <w:p w:rsidR="00A23B1B" w:rsidRDefault="00A23B1B" w:rsidP="00A23B1B">
      <w:pPr>
        <w:pStyle w:val="Heading1"/>
        <w:rPr>
          <w:lang w:eastAsia="en-GB"/>
        </w:rPr>
      </w:pPr>
      <w:r>
        <w:rPr>
          <w:lang w:eastAsia="en-GB"/>
        </w:rPr>
        <w:lastRenderedPageBreak/>
        <w:t>Appendix S:  Communications Plan</w:t>
      </w:r>
      <w:bookmarkEnd w:id="232"/>
    </w:p>
    <w:p w:rsidR="00A23B1B" w:rsidRDefault="00A23B1B" w:rsidP="00A23B1B">
      <w:pPr>
        <w:rPr>
          <w:lang w:eastAsia="en-GB"/>
        </w:rPr>
      </w:pPr>
    </w:p>
    <w:p w:rsidR="00A23B1B" w:rsidRPr="00A23B1B" w:rsidRDefault="00A23B1B" w:rsidP="00A23B1B">
      <w:pPr>
        <w:jc w:val="center"/>
        <w:rPr>
          <w:rFonts w:eastAsia="Times New Roman" w:cs="Arial"/>
          <w:b/>
          <w:sz w:val="28"/>
          <w:szCs w:val="24"/>
          <w:lang w:eastAsia="en-GB"/>
        </w:rPr>
      </w:pPr>
      <w:r w:rsidRPr="00A23B1B">
        <w:rPr>
          <w:rFonts w:eastAsia="Times New Roman" w:cs="Arial"/>
          <w:b/>
          <w:sz w:val="28"/>
          <w:szCs w:val="24"/>
          <w:lang w:eastAsia="en-GB"/>
        </w:rPr>
        <w:t>Pilgrim hospital Emergency Department transformation – outline communications plan</w:t>
      </w:r>
    </w:p>
    <w:p w:rsidR="00A23B1B" w:rsidRPr="00A23B1B" w:rsidRDefault="00A23B1B" w:rsidP="00A23B1B">
      <w:pPr>
        <w:jc w:val="center"/>
        <w:rPr>
          <w:rFonts w:eastAsia="Times New Roman" w:cs="Arial"/>
          <w:b/>
          <w:sz w:val="22"/>
          <w:szCs w:val="24"/>
          <w:lang w:eastAsia="en-GB"/>
        </w:rPr>
      </w:pPr>
    </w:p>
    <w:p w:rsidR="00A23B1B" w:rsidRPr="00A23B1B" w:rsidRDefault="00A23B1B" w:rsidP="00A23B1B">
      <w:pPr>
        <w:jc w:val="center"/>
        <w:rPr>
          <w:rFonts w:eastAsia="Times New Roman" w:cs="Arial"/>
          <w:b/>
          <w:sz w:val="22"/>
          <w:szCs w:val="24"/>
          <w:lang w:eastAsia="en-GB"/>
        </w:rPr>
      </w:pPr>
    </w:p>
    <w:p w:rsidR="00A23B1B" w:rsidRPr="00A23B1B" w:rsidRDefault="00A23B1B" w:rsidP="00A23B1B">
      <w:pPr>
        <w:rPr>
          <w:rFonts w:eastAsia="Times New Roman" w:cs="Arial"/>
          <w:b/>
          <w:szCs w:val="24"/>
          <w:lang w:eastAsia="en-GB"/>
        </w:rPr>
      </w:pPr>
      <w:r w:rsidRPr="00A23B1B">
        <w:rPr>
          <w:rFonts w:eastAsia="Times New Roman" w:cs="Arial"/>
          <w:b/>
          <w:szCs w:val="24"/>
          <w:lang w:eastAsia="en-GB"/>
        </w:rPr>
        <w:t>Introduction</w:t>
      </w:r>
    </w:p>
    <w:p w:rsidR="00A23B1B" w:rsidRPr="00A23B1B" w:rsidRDefault="00A23B1B" w:rsidP="00A23B1B">
      <w:pPr>
        <w:rPr>
          <w:rFonts w:eastAsia="Times New Roman" w:cs="Arial"/>
          <w:szCs w:val="24"/>
          <w:lang w:eastAsia="en-GB"/>
        </w:rPr>
      </w:pPr>
      <w:r w:rsidRPr="00A23B1B">
        <w:rPr>
          <w:rFonts w:eastAsia="Times New Roman" w:cs="Arial"/>
          <w:szCs w:val="24"/>
          <w:lang w:eastAsia="en-GB"/>
        </w:rPr>
        <w:t xml:space="preserve">In August 2019, during a visit to Pilgrim Hospital, Boston, Prime Minister Boris Johnson announced government funding to transform the emergency department. </w:t>
      </w:r>
    </w:p>
    <w:p w:rsidR="00A23B1B" w:rsidRPr="00A23B1B" w:rsidRDefault="00A23B1B" w:rsidP="00A23B1B">
      <w:pPr>
        <w:rPr>
          <w:rFonts w:eastAsia="Times New Roman" w:cs="Arial"/>
          <w:szCs w:val="24"/>
          <w:lang w:eastAsia="en-GB"/>
        </w:rPr>
      </w:pPr>
    </w:p>
    <w:p w:rsidR="00A23B1B" w:rsidRPr="00A23B1B" w:rsidRDefault="00A23B1B" w:rsidP="00A23B1B">
      <w:pPr>
        <w:rPr>
          <w:rFonts w:eastAsia="Times New Roman" w:cs="Arial"/>
          <w:szCs w:val="24"/>
          <w:lang w:eastAsia="en-GB"/>
        </w:rPr>
      </w:pPr>
      <w:r w:rsidRPr="00A23B1B">
        <w:rPr>
          <w:rFonts w:eastAsia="Times New Roman" w:cs="Arial"/>
          <w:szCs w:val="24"/>
          <w:lang w:eastAsia="en-GB"/>
        </w:rPr>
        <w:t>Securing the funding was the first major hurdle and then the work began. We have been busy liaising with our staff in the department, with colleagues across the Lincolnshire health and social care system, with national bodies and with patient representatives, to start the process of coming up with a plan that will give us an Emergency Department that is fit for the future.</w:t>
      </w:r>
    </w:p>
    <w:p w:rsidR="00A23B1B" w:rsidRPr="00A23B1B" w:rsidRDefault="00A23B1B" w:rsidP="00A23B1B">
      <w:pPr>
        <w:rPr>
          <w:rFonts w:eastAsia="Times New Roman" w:cs="Arial"/>
          <w:szCs w:val="24"/>
          <w:lang w:eastAsia="en-GB"/>
        </w:rPr>
      </w:pPr>
    </w:p>
    <w:p w:rsidR="00A23B1B" w:rsidRPr="00A23B1B" w:rsidRDefault="00A23B1B" w:rsidP="005D0AC7">
      <w:pPr>
        <w:numPr>
          <w:ilvl w:val="0"/>
          <w:numId w:val="82"/>
        </w:numPr>
        <w:ind w:left="360"/>
        <w:rPr>
          <w:rFonts w:eastAsia="Times New Roman" w:cs="Arial"/>
          <w:b/>
          <w:szCs w:val="24"/>
          <w:lang w:eastAsia="en-GB"/>
        </w:rPr>
      </w:pPr>
      <w:r w:rsidRPr="00A23B1B">
        <w:rPr>
          <w:rFonts w:eastAsia="Times New Roman" w:cs="Arial"/>
          <w:b/>
          <w:szCs w:val="24"/>
          <w:lang w:eastAsia="en-GB"/>
        </w:rPr>
        <w:t>Objectives</w:t>
      </w:r>
    </w:p>
    <w:p w:rsidR="00A23B1B" w:rsidRPr="00A23B1B" w:rsidRDefault="00A23B1B" w:rsidP="00A23B1B">
      <w:pPr>
        <w:rPr>
          <w:rFonts w:eastAsia="Times New Roman" w:cs="Arial"/>
          <w:szCs w:val="24"/>
          <w:lang w:eastAsia="en-GB"/>
        </w:rPr>
      </w:pPr>
      <w:r w:rsidRPr="00A23B1B">
        <w:rPr>
          <w:rFonts w:eastAsia="Times New Roman" w:cs="Arial"/>
          <w:szCs w:val="24"/>
          <w:lang w:eastAsia="en-GB"/>
        </w:rPr>
        <w:t>The aim of this communications plan is to support the transformation of the ED department and any connected works. Making sure that all colleagues, partner organisations and interested parties are kept up to date and informed in a timely manner.</w:t>
      </w:r>
    </w:p>
    <w:p w:rsidR="00A23B1B" w:rsidRPr="00A23B1B" w:rsidRDefault="00A23B1B" w:rsidP="00A23B1B">
      <w:pPr>
        <w:rPr>
          <w:rFonts w:eastAsia="Times New Roman" w:cs="Arial"/>
          <w:szCs w:val="24"/>
          <w:lang w:eastAsia="en-GB"/>
        </w:rPr>
      </w:pPr>
    </w:p>
    <w:p w:rsidR="00A23B1B" w:rsidRPr="00A23B1B" w:rsidRDefault="00A23B1B" w:rsidP="00A23B1B">
      <w:pPr>
        <w:rPr>
          <w:rFonts w:eastAsia="Times New Roman" w:cs="Arial"/>
          <w:szCs w:val="24"/>
          <w:lang w:eastAsia="en-GB"/>
        </w:rPr>
      </w:pPr>
      <w:r w:rsidRPr="00A23B1B">
        <w:rPr>
          <w:rFonts w:eastAsia="Times New Roman" w:cs="Arial"/>
          <w:szCs w:val="24"/>
          <w:lang w:eastAsia="en-GB"/>
        </w:rPr>
        <w:t>This is a really exciting time for the department and the hospital and through our communications channels we can make sure this momentum and excitement is shared with our colleagues, partners, patients, visitors and the local community the hospital serves.</w:t>
      </w:r>
    </w:p>
    <w:p w:rsidR="00A23B1B" w:rsidRPr="00A23B1B" w:rsidRDefault="00A23B1B" w:rsidP="00A23B1B">
      <w:pPr>
        <w:rPr>
          <w:rFonts w:eastAsia="Times New Roman" w:cs="Arial"/>
          <w:sz w:val="22"/>
          <w:szCs w:val="24"/>
          <w:lang w:eastAsia="en-GB"/>
        </w:rPr>
      </w:pPr>
    </w:p>
    <w:p w:rsidR="00A23B1B" w:rsidRPr="00A23B1B" w:rsidRDefault="00A23B1B" w:rsidP="005D0AC7">
      <w:pPr>
        <w:numPr>
          <w:ilvl w:val="0"/>
          <w:numId w:val="82"/>
        </w:numPr>
        <w:ind w:left="360"/>
        <w:rPr>
          <w:rFonts w:eastAsia="Times New Roman" w:cs="Arial"/>
          <w:b/>
          <w:szCs w:val="24"/>
          <w:lang w:eastAsia="en-GB"/>
        </w:rPr>
      </w:pPr>
      <w:r w:rsidRPr="00A23B1B">
        <w:rPr>
          <w:rFonts w:eastAsia="Times New Roman" w:cs="Arial"/>
          <w:b/>
          <w:szCs w:val="24"/>
          <w:lang w:eastAsia="en-GB"/>
        </w:rPr>
        <w:t xml:space="preserve">Key audiences </w:t>
      </w:r>
    </w:p>
    <w:p w:rsidR="00A23B1B" w:rsidRPr="00A23B1B" w:rsidRDefault="00A23B1B" w:rsidP="005D0AC7">
      <w:pPr>
        <w:numPr>
          <w:ilvl w:val="0"/>
          <w:numId w:val="83"/>
        </w:numPr>
        <w:rPr>
          <w:rFonts w:eastAsia="Calibri" w:cs="Arial"/>
          <w:i/>
          <w:szCs w:val="24"/>
        </w:rPr>
      </w:pPr>
      <w:r w:rsidRPr="00A23B1B">
        <w:rPr>
          <w:rFonts w:eastAsia="Calibri" w:cs="Arial"/>
          <w:i/>
          <w:szCs w:val="24"/>
        </w:rPr>
        <w:t>All Staff including:</w:t>
      </w:r>
    </w:p>
    <w:p w:rsidR="00A23B1B" w:rsidRPr="00A23B1B" w:rsidRDefault="00A23B1B" w:rsidP="005D0AC7">
      <w:pPr>
        <w:numPr>
          <w:ilvl w:val="1"/>
          <w:numId w:val="84"/>
        </w:numPr>
        <w:rPr>
          <w:rFonts w:eastAsia="Calibri" w:cs="Arial"/>
          <w:i/>
          <w:szCs w:val="24"/>
        </w:rPr>
      </w:pPr>
      <w:r w:rsidRPr="00A23B1B">
        <w:rPr>
          <w:rFonts w:eastAsia="Calibri" w:cs="Arial"/>
          <w:i/>
          <w:szCs w:val="24"/>
        </w:rPr>
        <w:t>ED staff</w:t>
      </w:r>
    </w:p>
    <w:p w:rsidR="00A23B1B" w:rsidRPr="00A23B1B" w:rsidRDefault="00A23B1B" w:rsidP="005D0AC7">
      <w:pPr>
        <w:numPr>
          <w:ilvl w:val="1"/>
          <w:numId w:val="84"/>
        </w:numPr>
        <w:rPr>
          <w:rFonts w:eastAsia="Calibri" w:cs="Arial"/>
          <w:i/>
          <w:szCs w:val="24"/>
        </w:rPr>
      </w:pPr>
      <w:r w:rsidRPr="00A23B1B">
        <w:rPr>
          <w:rFonts w:eastAsia="Calibri" w:cs="Arial"/>
          <w:i/>
          <w:szCs w:val="24"/>
        </w:rPr>
        <w:t>Other affected teams</w:t>
      </w:r>
    </w:p>
    <w:p w:rsidR="00A23B1B" w:rsidRPr="00A23B1B" w:rsidRDefault="00A23B1B" w:rsidP="005D0AC7">
      <w:pPr>
        <w:numPr>
          <w:ilvl w:val="1"/>
          <w:numId w:val="84"/>
        </w:numPr>
        <w:rPr>
          <w:rFonts w:eastAsia="Calibri" w:cs="Arial"/>
          <w:i/>
          <w:szCs w:val="24"/>
        </w:rPr>
      </w:pPr>
      <w:r w:rsidRPr="00A23B1B">
        <w:rPr>
          <w:rFonts w:eastAsia="Calibri" w:cs="Arial"/>
          <w:i/>
          <w:szCs w:val="24"/>
        </w:rPr>
        <w:t>Board</w:t>
      </w:r>
    </w:p>
    <w:p w:rsidR="00A23B1B" w:rsidRPr="00A23B1B" w:rsidRDefault="00A23B1B" w:rsidP="005D0AC7">
      <w:pPr>
        <w:numPr>
          <w:ilvl w:val="1"/>
          <w:numId w:val="84"/>
        </w:numPr>
        <w:rPr>
          <w:rFonts w:eastAsia="Calibri" w:cs="Arial"/>
          <w:i/>
          <w:szCs w:val="24"/>
        </w:rPr>
      </w:pPr>
      <w:r w:rsidRPr="00A23B1B">
        <w:rPr>
          <w:rFonts w:eastAsia="Calibri" w:cs="Arial"/>
          <w:i/>
          <w:szCs w:val="24"/>
        </w:rPr>
        <w:t>Staff side</w:t>
      </w:r>
    </w:p>
    <w:p w:rsidR="00A23B1B" w:rsidRPr="00A23B1B" w:rsidRDefault="00A23B1B" w:rsidP="005D0AC7">
      <w:pPr>
        <w:numPr>
          <w:ilvl w:val="1"/>
          <w:numId w:val="84"/>
        </w:numPr>
        <w:rPr>
          <w:rFonts w:eastAsia="Calibri" w:cs="Arial"/>
          <w:i/>
          <w:szCs w:val="24"/>
        </w:rPr>
      </w:pPr>
      <w:r w:rsidRPr="00A23B1B">
        <w:rPr>
          <w:rFonts w:eastAsia="Calibri" w:cs="Arial"/>
          <w:i/>
          <w:szCs w:val="24"/>
        </w:rPr>
        <w:t>All other colleagues</w:t>
      </w:r>
    </w:p>
    <w:p w:rsidR="00A23B1B" w:rsidRPr="00A23B1B" w:rsidRDefault="00A23B1B" w:rsidP="005D0AC7">
      <w:pPr>
        <w:numPr>
          <w:ilvl w:val="0"/>
          <w:numId w:val="83"/>
        </w:numPr>
        <w:rPr>
          <w:rFonts w:eastAsia="Calibri" w:cs="Arial"/>
          <w:i/>
          <w:szCs w:val="24"/>
        </w:rPr>
      </w:pPr>
      <w:r w:rsidRPr="00A23B1B">
        <w:rPr>
          <w:rFonts w:eastAsia="Calibri" w:cs="Arial"/>
          <w:i/>
          <w:szCs w:val="24"/>
        </w:rPr>
        <w:t>MPs</w:t>
      </w:r>
    </w:p>
    <w:p w:rsidR="00A23B1B" w:rsidRPr="00A23B1B" w:rsidRDefault="00A23B1B" w:rsidP="005D0AC7">
      <w:pPr>
        <w:numPr>
          <w:ilvl w:val="0"/>
          <w:numId w:val="83"/>
        </w:numPr>
        <w:rPr>
          <w:rFonts w:eastAsia="Calibri" w:cs="Arial"/>
          <w:i/>
          <w:szCs w:val="24"/>
        </w:rPr>
      </w:pPr>
      <w:proofErr w:type="spellStart"/>
      <w:r w:rsidRPr="00A23B1B">
        <w:rPr>
          <w:rFonts w:eastAsia="Calibri" w:cs="Arial"/>
          <w:i/>
          <w:szCs w:val="24"/>
        </w:rPr>
        <w:t>Healthwatch</w:t>
      </w:r>
      <w:proofErr w:type="spellEnd"/>
      <w:r w:rsidRPr="00A23B1B">
        <w:rPr>
          <w:rFonts w:eastAsia="Calibri" w:cs="Arial"/>
          <w:i/>
          <w:szCs w:val="24"/>
        </w:rPr>
        <w:t xml:space="preserve"> Lincolnshire, patient and third sector groups</w:t>
      </w:r>
    </w:p>
    <w:p w:rsidR="00A23B1B" w:rsidRPr="00A23B1B" w:rsidRDefault="00A23B1B" w:rsidP="005D0AC7">
      <w:pPr>
        <w:numPr>
          <w:ilvl w:val="0"/>
          <w:numId w:val="83"/>
        </w:numPr>
        <w:rPr>
          <w:rFonts w:eastAsia="Calibri" w:cs="Arial"/>
          <w:i/>
          <w:szCs w:val="24"/>
        </w:rPr>
      </w:pPr>
      <w:r w:rsidRPr="00A23B1B">
        <w:rPr>
          <w:rFonts w:eastAsia="Calibri" w:cs="Arial"/>
          <w:i/>
          <w:szCs w:val="24"/>
        </w:rPr>
        <w:t>Local politicians including district and county councillors</w:t>
      </w:r>
    </w:p>
    <w:p w:rsidR="00A23B1B" w:rsidRPr="00A23B1B" w:rsidRDefault="00A23B1B" w:rsidP="005D0AC7">
      <w:pPr>
        <w:numPr>
          <w:ilvl w:val="0"/>
          <w:numId w:val="83"/>
        </w:numPr>
        <w:rPr>
          <w:rFonts w:eastAsia="Calibri" w:cs="Arial"/>
          <w:i/>
          <w:szCs w:val="24"/>
        </w:rPr>
      </w:pPr>
      <w:r w:rsidRPr="00A23B1B">
        <w:rPr>
          <w:rFonts w:eastAsia="Calibri" w:cs="Arial"/>
          <w:i/>
          <w:szCs w:val="24"/>
        </w:rPr>
        <w:t>Health scrutiny committee and health and wellbeing board chairs</w:t>
      </w:r>
    </w:p>
    <w:p w:rsidR="00A23B1B" w:rsidRPr="00A23B1B" w:rsidRDefault="00A23B1B" w:rsidP="005D0AC7">
      <w:pPr>
        <w:numPr>
          <w:ilvl w:val="0"/>
          <w:numId w:val="83"/>
        </w:numPr>
        <w:rPr>
          <w:rFonts w:eastAsia="Calibri" w:cs="Arial"/>
          <w:i/>
          <w:szCs w:val="24"/>
        </w:rPr>
      </w:pPr>
      <w:r w:rsidRPr="00A23B1B">
        <w:rPr>
          <w:rFonts w:eastAsia="Calibri" w:cs="Arial"/>
          <w:i/>
          <w:szCs w:val="24"/>
        </w:rPr>
        <w:t>Commissioners (CCGs, NHSEI and county council).</w:t>
      </w:r>
    </w:p>
    <w:p w:rsidR="00A23B1B" w:rsidRPr="00A23B1B" w:rsidRDefault="00A23B1B" w:rsidP="005D0AC7">
      <w:pPr>
        <w:numPr>
          <w:ilvl w:val="0"/>
          <w:numId w:val="83"/>
        </w:numPr>
        <w:rPr>
          <w:rFonts w:eastAsia="Calibri" w:cs="Arial"/>
          <w:i/>
          <w:szCs w:val="24"/>
        </w:rPr>
      </w:pPr>
      <w:r w:rsidRPr="00A23B1B">
        <w:rPr>
          <w:rFonts w:eastAsia="Calibri" w:cs="Arial"/>
          <w:i/>
          <w:szCs w:val="24"/>
        </w:rPr>
        <w:t>Partner organisations (councils, EMAS, LCHS, LPFT).</w:t>
      </w:r>
    </w:p>
    <w:p w:rsidR="00A23B1B" w:rsidRPr="00A23B1B" w:rsidRDefault="00A23B1B" w:rsidP="005D0AC7">
      <w:pPr>
        <w:numPr>
          <w:ilvl w:val="0"/>
          <w:numId w:val="83"/>
        </w:numPr>
        <w:rPr>
          <w:rFonts w:eastAsia="Calibri" w:cs="Arial"/>
          <w:i/>
          <w:szCs w:val="24"/>
        </w:rPr>
      </w:pPr>
      <w:r w:rsidRPr="00A23B1B">
        <w:rPr>
          <w:rFonts w:eastAsia="Calibri" w:cs="Arial"/>
          <w:i/>
          <w:szCs w:val="24"/>
        </w:rPr>
        <w:t>Regulators (NHSEI, CQC)</w:t>
      </w:r>
    </w:p>
    <w:p w:rsidR="00A23B1B" w:rsidRPr="00A23B1B" w:rsidRDefault="00A23B1B" w:rsidP="005D0AC7">
      <w:pPr>
        <w:numPr>
          <w:ilvl w:val="0"/>
          <w:numId w:val="83"/>
        </w:numPr>
        <w:rPr>
          <w:rFonts w:eastAsia="Calibri" w:cs="Arial"/>
          <w:i/>
          <w:szCs w:val="24"/>
        </w:rPr>
      </w:pPr>
      <w:r w:rsidRPr="00A23B1B">
        <w:rPr>
          <w:rFonts w:eastAsia="Calibri" w:cs="Arial"/>
          <w:i/>
          <w:szCs w:val="24"/>
        </w:rPr>
        <w:t xml:space="preserve">Neighbouring trusts, councils </w:t>
      </w:r>
    </w:p>
    <w:p w:rsidR="00A23B1B" w:rsidRPr="00A23B1B" w:rsidRDefault="00A23B1B" w:rsidP="005D0AC7">
      <w:pPr>
        <w:numPr>
          <w:ilvl w:val="0"/>
          <w:numId w:val="83"/>
        </w:numPr>
        <w:rPr>
          <w:rFonts w:eastAsia="Calibri" w:cs="Arial"/>
          <w:i/>
          <w:szCs w:val="24"/>
        </w:rPr>
      </w:pPr>
      <w:r w:rsidRPr="00A23B1B">
        <w:rPr>
          <w:rFonts w:eastAsia="Calibri" w:cs="Arial"/>
          <w:i/>
          <w:szCs w:val="24"/>
        </w:rPr>
        <w:t>GPs</w:t>
      </w:r>
    </w:p>
    <w:p w:rsidR="00A23B1B" w:rsidRPr="00A23B1B" w:rsidRDefault="00A23B1B" w:rsidP="005D0AC7">
      <w:pPr>
        <w:numPr>
          <w:ilvl w:val="0"/>
          <w:numId w:val="83"/>
        </w:numPr>
        <w:rPr>
          <w:rFonts w:eastAsia="Calibri" w:cs="Arial"/>
          <w:i/>
          <w:szCs w:val="24"/>
        </w:rPr>
      </w:pPr>
      <w:r w:rsidRPr="00A23B1B">
        <w:rPr>
          <w:rFonts w:eastAsia="Calibri" w:cs="Arial"/>
          <w:i/>
          <w:szCs w:val="24"/>
        </w:rPr>
        <w:t>Public</w:t>
      </w:r>
    </w:p>
    <w:p w:rsidR="00A23B1B" w:rsidRPr="00A23B1B" w:rsidRDefault="00A23B1B" w:rsidP="005D0AC7">
      <w:pPr>
        <w:numPr>
          <w:ilvl w:val="0"/>
          <w:numId w:val="83"/>
        </w:numPr>
        <w:rPr>
          <w:rFonts w:eastAsia="Calibri" w:cs="Arial"/>
          <w:i/>
          <w:szCs w:val="24"/>
        </w:rPr>
      </w:pPr>
      <w:r w:rsidRPr="00A23B1B">
        <w:rPr>
          <w:rFonts w:eastAsia="Calibri" w:cs="Arial"/>
          <w:i/>
          <w:szCs w:val="24"/>
        </w:rPr>
        <w:t>Patients and carers</w:t>
      </w:r>
    </w:p>
    <w:p w:rsidR="00A23B1B" w:rsidRPr="00A23B1B" w:rsidRDefault="00A23B1B" w:rsidP="005D0AC7">
      <w:pPr>
        <w:numPr>
          <w:ilvl w:val="0"/>
          <w:numId w:val="83"/>
        </w:numPr>
        <w:rPr>
          <w:rFonts w:eastAsia="Calibri" w:cs="Arial"/>
          <w:i/>
          <w:szCs w:val="24"/>
        </w:rPr>
      </w:pPr>
      <w:r w:rsidRPr="00A23B1B">
        <w:rPr>
          <w:rFonts w:eastAsia="Calibri" w:cs="Arial"/>
          <w:i/>
          <w:szCs w:val="24"/>
        </w:rPr>
        <w:t>Trust members (1,300 interested members of the public)</w:t>
      </w:r>
    </w:p>
    <w:p w:rsidR="00A23B1B" w:rsidRPr="00A23B1B" w:rsidRDefault="00A23B1B" w:rsidP="005D0AC7">
      <w:pPr>
        <w:numPr>
          <w:ilvl w:val="0"/>
          <w:numId w:val="83"/>
        </w:numPr>
        <w:rPr>
          <w:rFonts w:eastAsia="Calibri" w:cs="Arial"/>
          <w:i/>
          <w:szCs w:val="24"/>
        </w:rPr>
      </w:pPr>
      <w:r w:rsidRPr="00A23B1B">
        <w:rPr>
          <w:rFonts w:eastAsia="Calibri" w:cs="Arial"/>
          <w:i/>
          <w:szCs w:val="24"/>
        </w:rPr>
        <w:t>Contractors and business partners</w:t>
      </w:r>
    </w:p>
    <w:p w:rsidR="00A23B1B" w:rsidRPr="00A23B1B" w:rsidRDefault="00A23B1B" w:rsidP="005D0AC7">
      <w:pPr>
        <w:numPr>
          <w:ilvl w:val="0"/>
          <w:numId w:val="83"/>
        </w:numPr>
        <w:rPr>
          <w:rFonts w:eastAsia="Calibri" w:cs="Arial"/>
          <w:i/>
          <w:szCs w:val="24"/>
        </w:rPr>
      </w:pPr>
      <w:r w:rsidRPr="00A23B1B">
        <w:rPr>
          <w:rFonts w:eastAsia="Calibri" w:cs="Arial"/>
          <w:i/>
          <w:szCs w:val="24"/>
        </w:rPr>
        <w:t>Any other interested parties</w:t>
      </w:r>
    </w:p>
    <w:p w:rsidR="00A23B1B" w:rsidRPr="00A23B1B" w:rsidRDefault="00A23B1B" w:rsidP="005D0AC7">
      <w:pPr>
        <w:numPr>
          <w:ilvl w:val="0"/>
          <w:numId w:val="83"/>
        </w:numPr>
        <w:rPr>
          <w:rFonts w:eastAsia="Calibri" w:cs="Arial"/>
          <w:i/>
          <w:szCs w:val="24"/>
        </w:rPr>
      </w:pPr>
      <w:r w:rsidRPr="00A23B1B">
        <w:rPr>
          <w:rFonts w:eastAsia="Calibri" w:cs="Arial"/>
          <w:i/>
          <w:szCs w:val="24"/>
        </w:rPr>
        <w:lastRenderedPageBreak/>
        <w:t>Media – although the media are not the final target audience they provide a powerful voice.</w:t>
      </w:r>
    </w:p>
    <w:p w:rsidR="00A23B1B" w:rsidRPr="00A23B1B" w:rsidRDefault="00A23B1B" w:rsidP="00A23B1B">
      <w:pPr>
        <w:ind w:left="360"/>
        <w:rPr>
          <w:rFonts w:eastAsia="Calibri" w:cs="Arial"/>
          <w:i/>
          <w:szCs w:val="24"/>
        </w:rPr>
      </w:pPr>
    </w:p>
    <w:p w:rsidR="00A23B1B" w:rsidRPr="00A23B1B" w:rsidRDefault="00A23B1B" w:rsidP="00A23B1B">
      <w:pPr>
        <w:rPr>
          <w:rFonts w:eastAsia="Calibri" w:cs="Arial"/>
          <w:i/>
          <w:szCs w:val="24"/>
        </w:rPr>
      </w:pPr>
      <w:r w:rsidRPr="00A23B1B">
        <w:rPr>
          <w:rFonts w:eastAsia="Calibri" w:cs="Arial"/>
          <w:i/>
          <w:szCs w:val="24"/>
        </w:rPr>
        <w:t>Please also see Appendix A and B below.</w:t>
      </w:r>
    </w:p>
    <w:p w:rsidR="00A23B1B" w:rsidRPr="00A23B1B" w:rsidRDefault="00A23B1B" w:rsidP="00A23B1B">
      <w:pPr>
        <w:rPr>
          <w:rFonts w:eastAsia="Times New Roman" w:cs="Arial"/>
          <w:szCs w:val="24"/>
          <w:lang w:eastAsia="en-GB"/>
        </w:rPr>
      </w:pPr>
    </w:p>
    <w:p w:rsidR="00A23B1B" w:rsidRPr="00A23B1B" w:rsidRDefault="00A23B1B" w:rsidP="00A23B1B">
      <w:pPr>
        <w:rPr>
          <w:rFonts w:eastAsia="Times New Roman" w:cs="Arial"/>
          <w:szCs w:val="24"/>
          <w:lang w:eastAsia="en-GB"/>
        </w:rPr>
      </w:pPr>
    </w:p>
    <w:p w:rsidR="00A23B1B" w:rsidRPr="00A23B1B" w:rsidRDefault="00A23B1B" w:rsidP="00A23B1B">
      <w:pPr>
        <w:rPr>
          <w:rFonts w:eastAsia="Times New Roman" w:cs="Arial"/>
          <w:szCs w:val="24"/>
          <w:lang w:eastAsia="en-GB"/>
        </w:rPr>
      </w:pPr>
    </w:p>
    <w:p w:rsidR="00A23B1B" w:rsidRPr="00A23B1B" w:rsidRDefault="00A23B1B" w:rsidP="005D0AC7">
      <w:pPr>
        <w:numPr>
          <w:ilvl w:val="0"/>
          <w:numId w:val="85"/>
        </w:numPr>
        <w:rPr>
          <w:rFonts w:eastAsia="Times New Roman" w:cs="Arial"/>
          <w:b/>
          <w:szCs w:val="24"/>
          <w:lang w:eastAsia="en-GB"/>
        </w:rPr>
      </w:pPr>
      <w:r w:rsidRPr="00A23B1B">
        <w:rPr>
          <w:rFonts w:eastAsia="Times New Roman" w:cs="Arial"/>
          <w:b/>
          <w:szCs w:val="24"/>
          <w:lang w:eastAsia="en-GB"/>
        </w:rPr>
        <w:t>Key messages</w:t>
      </w:r>
    </w:p>
    <w:p w:rsidR="00A23B1B" w:rsidRPr="00A23B1B" w:rsidRDefault="00A23B1B" w:rsidP="00A23B1B">
      <w:pPr>
        <w:rPr>
          <w:rFonts w:eastAsia="Times New Roman" w:cs="Arial"/>
          <w:szCs w:val="24"/>
          <w:lang w:eastAsia="en-GB"/>
        </w:rPr>
      </w:pPr>
      <w:r w:rsidRPr="00A23B1B">
        <w:rPr>
          <w:rFonts w:eastAsia="Times New Roman" w:cs="Arial"/>
          <w:szCs w:val="24"/>
          <w:lang w:eastAsia="en-GB"/>
        </w:rPr>
        <w:t>The key messages will change as the programme develops.</w:t>
      </w:r>
    </w:p>
    <w:p w:rsidR="00A23B1B" w:rsidRPr="00A23B1B" w:rsidRDefault="00A23B1B" w:rsidP="00A23B1B">
      <w:pPr>
        <w:rPr>
          <w:rFonts w:eastAsia="Times New Roman" w:cs="Arial"/>
          <w:szCs w:val="24"/>
          <w:lang w:eastAsia="en-GB"/>
        </w:rPr>
      </w:pPr>
    </w:p>
    <w:p w:rsidR="00A23B1B" w:rsidRPr="00A23B1B" w:rsidRDefault="00A23B1B" w:rsidP="00A23B1B">
      <w:pPr>
        <w:rPr>
          <w:rFonts w:eastAsia="Times New Roman" w:cs="Arial"/>
          <w:szCs w:val="24"/>
          <w:lang w:eastAsia="en-GB"/>
        </w:rPr>
      </w:pPr>
      <w:r w:rsidRPr="00A23B1B">
        <w:rPr>
          <w:rFonts w:eastAsia="Times New Roman" w:cs="Arial"/>
          <w:szCs w:val="24"/>
          <w:lang w:eastAsia="en-GB"/>
        </w:rPr>
        <w:t>We have already covered:</w:t>
      </w:r>
    </w:p>
    <w:p w:rsidR="00A23B1B" w:rsidRPr="00A23B1B" w:rsidRDefault="004E77B4" w:rsidP="005D0AC7">
      <w:pPr>
        <w:numPr>
          <w:ilvl w:val="0"/>
          <w:numId w:val="86"/>
        </w:numPr>
        <w:contextualSpacing/>
        <w:rPr>
          <w:rFonts w:eastAsia="Times New Roman" w:cs="Arial"/>
          <w:szCs w:val="24"/>
          <w:lang w:eastAsia="en-GB"/>
        </w:rPr>
      </w:pPr>
      <w:hyperlink r:id="rId67" w:history="1">
        <w:r w:rsidR="00A23B1B" w:rsidRPr="00A23B1B">
          <w:rPr>
            <w:rFonts w:eastAsia="Times New Roman" w:cs="Arial"/>
            <w:color w:val="0000FF" w:themeColor="hyperlink"/>
            <w:szCs w:val="24"/>
            <w:u w:val="single"/>
            <w:lang w:eastAsia="en-GB"/>
          </w:rPr>
          <w:t>the funding announcement when the Prime Minister</w:t>
        </w:r>
      </w:hyperlink>
      <w:r w:rsidR="00A23B1B" w:rsidRPr="00A23B1B">
        <w:rPr>
          <w:rFonts w:eastAsia="Times New Roman" w:cs="Arial"/>
          <w:szCs w:val="24"/>
          <w:lang w:eastAsia="en-GB"/>
        </w:rPr>
        <w:t xml:space="preserve"> visited and a few internal </w:t>
      </w:r>
      <w:proofErr w:type="spellStart"/>
      <w:r w:rsidR="00A23B1B" w:rsidRPr="00A23B1B">
        <w:rPr>
          <w:rFonts w:eastAsia="Times New Roman" w:cs="Arial"/>
          <w:szCs w:val="24"/>
          <w:lang w:eastAsia="en-GB"/>
        </w:rPr>
        <w:t>comms</w:t>
      </w:r>
      <w:proofErr w:type="spellEnd"/>
      <w:r w:rsidR="00A23B1B" w:rsidRPr="00A23B1B">
        <w:rPr>
          <w:rFonts w:eastAsia="Times New Roman" w:cs="Arial"/>
          <w:szCs w:val="24"/>
          <w:lang w:eastAsia="en-GB"/>
        </w:rPr>
        <w:t xml:space="preserve"> messages to keep colleagues updated (including through a Pilgrim ED newsletter)</w:t>
      </w:r>
    </w:p>
    <w:p w:rsidR="00A23B1B" w:rsidRPr="00A23B1B" w:rsidRDefault="00A23B1B" w:rsidP="005D0AC7">
      <w:pPr>
        <w:numPr>
          <w:ilvl w:val="0"/>
          <w:numId w:val="86"/>
        </w:numPr>
        <w:contextualSpacing/>
        <w:rPr>
          <w:rFonts w:eastAsia="Times New Roman" w:cs="Arial"/>
          <w:szCs w:val="24"/>
          <w:lang w:eastAsia="en-GB"/>
        </w:rPr>
      </w:pPr>
      <w:r w:rsidRPr="00A23B1B">
        <w:rPr>
          <w:rFonts w:eastAsia="Times New Roman" w:cs="Arial"/>
          <w:szCs w:val="24"/>
          <w:lang w:eastAsia="en-GB"/>
        </w:rPr>
        <w:t>Column in the Boston Standard to let people know that work is still happening behind the scenes</w:t>
      </w:r>
    </w:p>
    <w:p w:rsidR="00A23B1B" w:rsidRPr="00A23B1B" w:rsidRDefault="004E77B4" w:rsidP="005D0AC7">
      <w:pPr>
        <w:numPr>
          <w:ilvl w:val="0"/>
          <w:numId w:val="86"/>
        </w:numPr>
        <w:contextualSpacing/>
        <w:rPr>
          <w:rFonts w:eastAsia="Times New Roman" w:cs="Arial"/>
          <w:szCs w:val="24"/>
          <w:lang w:eastAsia="en-GB"/>
        </w:rPr>
      </w:pPr>
      <w:hyperlink r:id="rId68" w:history="1">
        <w:r w:rsidR="00A23B1B" w:rsidRPr="00A23B1B">
          <w:rPr>
            <w:rFonts w:eastAsia="Times New Roman" w:cs="Arial"/>
            <w:color w:val="0000FF" w:themeColor="hyperlink"/>
            <w:szCs w:val="24"/>
            <w:u w:val="single"/>
            <w:lang w:eastAsia="en-GB"/>
          </w:rPr>
          <w:t>The unveiling of the artistic impressions and plans ahead of the planning application being submitted</w:t>
        </w:r>
      </w:hyperlink>
      <w:r w:rsidR="00A23B1B" w:rsidRPr="00A23B1B">
        <w:rPr>
          <w:rFonts w:eastAsia="Times New Roman" w:cs="Arial"/>
          <w:szCs w:val="24"/>
          <w:lang w:eastAsia="en-GB"/>
        </w:rPr>
        <w:t>.</w:t>
      </w:r>
    </w:p>
    <w:p w:rsidR="00A23B1B" w:rsidRPr="00A23B1B" w:rsidRDefault="004E77B4" w:rsidP="005D0AC7">
      <w:pPr>
        <w:numPr>
          <w:ilvl w:val="0"/>
          <w:numId w:val="86"/>
        </w:numPr>
        <w:contextualSpacing/>
        <w:rPr>
          <w:rFonts w:eastAsia="Times New Roman" w:cs="Arial"/>
          <w:szCs w:val="24"/>
          <w:lang w:eastAsia="en-GB"/>
        </w:rPr>
      </w:pPr>
      <w:hyperlink r:id="rId69" w:history="1">
        <w:r w:rsidR="00A23B1B" w:rsidRPr="00A23B1B">
          <w:rPr>
            <w:rFonts w:eastAsia="Times New Roman" w:cs="Arial"/>
            <w:color w:val="0000FF" w:themeColor="hyperlink"/>
            <w:szCs w:val="24"/>
            <w:u w:val="single"/>
            <w:lang w:eastAsia="en-GB"/>
          </w:rPr>
          <w:t>Work to enable the transformation of Pilgrim Emergency Department is set to begin.</w:t>
        </w:r>
      </w:hyperlink>
    </w:p>
    <w:p w:rsidR="00A23B1B" w:rsidRPr="00A23B1B" w:rsidRDefault="00A23B1B" w:rsidP="005D0AC7">
      <w:pPr>
        <w:numPr>
          <w:ilvl w:val="0"/>
          <w:numId w:val="86"/>
        </w:numPr>
        <w:contextualSpacing/>
        <w:rPr>
          <w:rFonts w:eastAsia="Times New Roman" w:cs="Arial"/>
          <w:szCs w:val="24"/>
          <w:lang w:eastAsia="en-GB"/>
        </w:rPr>
      </w:pPr>
      <w:r w:rsidRPr="00A23B1B">
        <w:rPr>
          <w:rFonts w:eastAsia="Times New Roman" w:cs="Arial"/>
          <w:szCs w:val="24"/>
          <w:lang w:eastAsia="en-GB"/>
        </w:rPr>
        <w:t>Social media posts linking to the planning application on the Boston Borough Council website.</w:t>
      </w:r>
    </w:p>
    <w:p w:rsidR="00A23B1B" w:rsidRPr="00A23B1B" w:rsidRDefault="00A23B1B" w:rsidP="00A23B1B">
      <w:pPr>
        <w:rPr>
          <w:rFonts w:eastAsia="Times New Roman" w:cs="Arial"/>
          <w:szCs w:val="24"/>
          <w:lang w:eastAsia="en-GB"/>
        </w:rPr>
      </w:pPr>
    </w:p>
    <w:p w:rsidR="00A23B1B" w:rsidRPr="00A23B1B" w:rsidRDefault="00A23B1B" w:rsidP="00A23B1B">
      <w:pPr>
        <w:rPr>
          <w:rFonts w:eastAsia="Times New Roman" w:cs="Arial"/>
          <w:szCs w:val="24"/>
          <w:lang w:eastAsia="en-GB"/>
        </w:rPr>
      </w:pPr>
      <w:r w:rsidRPr="00A23B1B">
        <w:rPr>
          <w:rFonts w:eastAsia="Times New Roman" w:cs="Arial"/>
          <w:szCs w:val="24"/>
          <w:lang w:eastAsia="en-GB"/>
        </w:rPr>
        <w:t xml:space="preserve">The next wave of </w:t>
      </w:r>
      <w:proofErr w:type="spellStart"/>
      <w:r w:rsidRPr="00A23B1B">
        <w:rPr>
          <w:rFonts w:eastAsia="Times New Roman" w:cs="Arial"/>
          <w:szCs w:val="24"/>
          <w:lang w:eastAsia="en-GB"/>
        </w:rPr>
        <w:t>comms</w:t>
      </w:r>
      <w:proofErr w:type="spellEnd"/>
      <w:r w:rsidRPr="00A23B1B">
        <w:rPr>
          <w:rFonts w:eastAsia="Times New Roman" w:cs="Arial"/>
          <w:szCs w:val="24"/>
          <w:lang w:eastAsia="en-GB"/>
        </w:rPr>
        <w:t xml:space="preserve"> externally will be around getting our full business case signed off by the DHSC.</w:t>
      </w:r>
    </w:p>
    <w:p w:rsidR="00A23B1B" w:rsidRPr="00A23B1B" w:rsidRDefault="00A23B1B" w:rsidP="00A23B1B">
      <w:pPr>
        <w:rPr>
          <w:rFonts w:eastAsia="Times New Roman" w:cs="Arial"/>
          <w:szCs w:val="24"/>
          <w:lang w:eastAsia="en-GB"/>
        </w:rPr>
      </w:pPr>
    </w:p>
    <w:p w:rsidR="00A23B1B" w:rsidRPr="00A23B1B" w:rsidRDefault="00A23B1B" w:rsidP="00A23B1B">
      <w:pPr>
        <w:rPr>
          <w:rFonts w:eastAsia="Times New Roman" w:cs="Arial"/>
          <w:szCs w:val="24"/>
          <w:lang w:eastAsia="en-GB"/>
        </w:rPr>
      </w:pPr>
      <w:r w:rsidRPr="00A23B1B">
        <w:rPr>
          <w:rFonts w:eastAsia="Times New Roman" w:cs="Arial"/>
          <w:szCs w:val="24"/>
          <w:lang w:eastAsia="en-GB"/>
        </w:rPr>
        <w:t>A lot of the communication will then be focussed internally as we complete the enabling works.</w:t>
      </w:r>
    </w:p>
    <w:p w:rsidR="00A23B1B" w:rsidRPr="00A23B1B" w:rsidRDefault="00A23B1B" w:rsidP="00A23B1B">
      <w:pPr>
        <w:rPr>
          <w:rFonts w:eastAsia="Times New Roman" w:cs="Arial"/>
          <w:szCs w:val="24"/>
          <w:lang w:eastAsia="en-GB"/>
        </w:rPr>
      </w:pPr>
    </w:p>
    <w:p w:rsidR="00A23B1B" w:rsidRPr="00A23B1B" w:rsidRDefault="00A23B1B" w:rsidP="00A23B1B">
      <w:pPr>
        <w:rPr>
          <w:rFonts w:eastAsia="Times New Roman" w:cs="Arial"/>
          <w:szCs w:val="24"/>
          <w:lang w:eastAsia="en-GB"/>
        </w:rPr>
      </w:pPr>
      <w:r w:rsidRPr="00A23B1B">
        <w:rPr>
          <w:rFonts w:eastAsia="Times New Roman" w:cs="Arial"/>
          <w:szCs w:val="24"/>
          <w:lang w:eastAsia="en-GB"/>
        </w:rPr>
        <w:t xml:space="preserve">This will be followed by a big internal and external media push when the works begin – with lots of regular updates as we come to key milestones through our staff </w:t>
      </w:r>
      <w:proofErr w:type="spellStart"/>
      <w:r w:rsidRPr="00A23B1B">
        <w:rPr>
          <w:rFonts w:eastAsia="Times New Roman" w:cs="Arial"/>
          <w:szCs w:val="24"/>
          <w:lang w:eastAsia="en-GB"/>
        </w:rPr>
        <w:t>comms</w:t>
      </w:r>
      <w:proofErr w:type="spellEnd"/>
      <w:r w:rsidRPr="00A23B1B">
        <w:rPr>
          <w:rFonts w:eastAsia="Times New Roman" w:cs="Arial"/>
          <w:szCs w:val="24"/>
          <w:lang w:eastAsia="en-GB"/>
        </w:rPr>
        <w:t>, columns to local media and also through our social media channels.</w:t>
      </w:r>
    </w:p>
    <w:p w:rsidR="00A23B1B" w:rsidRPr="00A23B1B" w:rsidRDefault="00A23B1B" w:rsidP="00A23B1B">
      <w:pPr>
        <w:rPr>
          <w:rFonts w:eastAsia="Times New Roman" w:cs="Arial"/>
          <w:szCs w:val="24"/>
          <w:lang w:eastAsia="en-GB"/>
        </w:rPr>
      </w:pPr>
    </w:p>
    <w:p w:rsidR="00A23B1B" w:rsidRPr="00A23B1B" w:rsidRDefault="00A23B1B" w:rsidP="00A23B1B">
      <w:pPr>
        <w:rPr>
          <w:rFonts w:eastAsia="Times New Roman" w:cs="Arial"/>
          <w:szCs w:val="24"/>
          <w:lang w:eastAsia="en-GB"/>
        </w:rPr>
      </w:pPr>
      <w:r w:rsidRPr="00A23B1B">
        <w:rPr>
          <w:rFonts w:eastAsia="Times New Roman" w:cs="Arial"/>
          <w:szCs w:val="24"/>
          <w:lang w:eastAsia="en-GB"/>
        </w:rPr>
        <w:t xml:space="preserve">Finally, once the works are completed we will do lots of </w:t>
      </w:r>
      <w:proofErr w:type="spellStart"/>
      <w:r w:rsidRPr="00A23B1B">
        <w:rPr>
          <w:rFonts w:eastAsia="Times New Roman" w:cs="Arial"/>
          <w:szCs w:val="24"/>
          <w:lang w:eastAsia="en-GB"/>
        </w:rPr>
        <w:t>comms</w:t>
      </w:r>
      <w:proofErr w:type="spellEnd"/>
      <w:r w:rsidRPr="00A23B1B">
        <w:rPr>
          <w:rFonts w:eastAsia="Times New Roman" w:cs="Arial"/>
          <w:szCs w:val="24"/>
          <w:lang w:eastAsia="en-GB"/>
        </w:rPr>
        <w:t xml:space="preserve"> for staff, invite the media to the official opening, we can do interviews with our execs, the ED teams, a tour of the department, patient feedback etc.</w:t>
      </w:r>
    </w:p>
    <w:p w:rsidR="00A23B1B" w:rsidRPr="00A23B1B" w:rsidRDefault="00A23B1B" w:rsidP="00A23B1B">
      <w:pPr>
        <w:rPr>
          <w:rFonts w:eastAsia="Times New Roman" w:cs="Arial"/>
          <w:szCs w:val="24"/>
          <w:lang w:eastAsia="en-GB"/>
        </w:rPr>
      </w:pPr>
    </w:p>
    <w:p w:rsidR="00A23B1B" w:rsidRPr="00A23B1B" w:rsidRDefault="00A23B1B" w:rsidP="005D0AC7">
      <w:pPr>
        <w:numPr>
          <w:ilvl w:val="0"/>
          <w:numId w:val="85"/>
        </w:numPr>
        <w:rPr>
          <w:rFonts w:eastAsia="Times New Roman" w:cs="Arial"/>
          <w:b/>
          <w:szCs w:val="24"/>
          <w:lang w:eastAsia="en-GB"/>
        </w:rPr>
      </w:pPr>
      <w:r w:rsidRPr="00A23B1B">
        <w:rPr>
          <w:rFonts w:eastAsia="Times New Roman" w:cs="Arial"/>
          <w:b/>
          <w:szCs w:val="24"/>
          <w:lang w:eastAsia="en-GB"/>
        </w:rPr>
        <w:t>Plan</w:t>
      </w:r>
    </w:p>
    <w:p w:rsidR="00A23B1B" w:rsidRPr="00A23B1B" w:rsidRDefault="00A23B1B" w:rsidP="00A23B1B">
      <w:pPr>
        <w:rPr>
          <w:rFonts w:eastAsia="Times New Roman" w:cs="Arial"/>
          <w:szCs w:val="24"/>
          <w:lang w:eastAsia="en-GB"/>
        </w:rPr>
      </w:pPr>
      <w:r w:rsidRPr="00A23B1B">
        <w:rPr>
          <w:rFonts w:eastAsia="Times New Roman" w:cs="Arial"/>
          <w:szCs w:val="24"/>
          <w:lang w:eastAsia="en-GB"/>
        </w:rPr>
        <w:t>Any messages shared externally, should first be made available to ULHT colleagues (particularly those directly affected). The plan below will be developed and extended as work progresses and messages are agreed.</w:t>
      </w:r>
    </w:p>
    <w:p w:rsidR="00A23B1B" w:rsidRPr="00A23B1B" w:rsidRDefault="00A23B1B" w:rsidP="00A23B1B">
      <w:pPr>
        <w:rPr>
          <w:rFonts w:eastAsia="Times New Roman" w:cs="Arial"/>
          <w:szCs w:val="24"/>
          <w:lang w:eastAsia="en-GB"/>
        </w:rPr>
      </w:pPr>
    </w:p>
    <w:p w:rsidR="00A23B1B" w:rsidRPr="00A23B1B" w:rsidRDefault="00A23B1B" w:rsidP="00A23B1B">
      <w:pPr>
        <w:rPr>
          <w:rFonts w:eastAsia="Times New Roman" w:cs="Arial"/>
          <w:szCs w:val="24"/>
          <w:lang w:eastAsia="en-GB"/>
        </w:rPr>
      </w:pPr>
      <w:r w:rsidRPr="00A23B1B">
        <w:rPr>
          <w:rFonts w:eastAsia="Times New Roman" w:cs="Arial"/>
          <w:szCs w:val="24"/>
          <w:lang w:eastAsia="en-GB"/>
        </w:rPr>
        <w:t xml:space="preserve">We have lots of channels we can utilise, including: </w:t>
      </w:r>
    </w:p>
    <w:p w:rsidR="00A23B1B" w:rsidRPr="00A23B1B" w:rsidRDefault="00A23B1B" w:rsidP="00A23B1B">
      <w:pPr>
        <w:rPr>
          <w:rFonts w:eastAsia="Times New Roman" w:cs="Arial"/>
          <w:szCs w:val="24"/>
          <w:lang w:eastAsia="en-GB"/>
        </w:rPr>
      </w:pPr>
      <w:r w:rsidRPr="00A23B1B">
        <w:rPr>
          <w:rFonts w:eastAsia="Times New Roman" w:cs="Arial"/>
          <w:szCs w:val="24"/>
          <w:lang w:eastAsia="en-GB"/>
        </w:rPr>
        <w:t xml:space="preserve">Internal </w:t>
      </w:r>
      <w:proofErr w:type="spellStart"/>
      <w:r w:rsidRPr="00A23B1B">
        <w:rPr>
          <w:rFonts w:eastAsia="Times New Roman" w:cs="Arial"/>
          <w:szCs w:val="24"/>
          <w:lang w:eastAsia="en-GB"/>
        </w:rPr>
        <w:t>comms</w:t>
      </w:r>
      <w:proofErr w:type="spellEnd"/>
      <w:r w:rsidRPr="00A23B1B">
        <w:rPr>
          <w:rFonts w:eastAsia="Times New Roman" w:cs="Arial"/>
          <w:szCs w:val="24"/>
          <w:lang w:eastAsia="en-GB"/>
        </w:rPr>
        <w:t xml:space="preserve"> – all staff emails, newsletter (template drafted), weekly </w:t>
      </w:r>
      <w:proofErr w:type="spellStart"/>
      <w:r w:rsidRPr="00A23B1B">
        <w:rPr>
          <w:rFonts w:eastAsia="Times New Roman" w:cs="Arial"/>
          <w:szCs w:val="24"/>
          <w:lang w:eastAsia="en-GB"/>
        </w:rPr>
        <w:t>round up</w:t>
      </w:r>
      <w:proofErr w:type="spellEnd"/>
      <w:r w:rsidRPr="00A23B1B">
        <w:rPr>
          <w:rFonts w:eastAsia="Times New Roman" w:cs="Arial"/>
          <w:szCs w:val="24"/>
          <w:lang w:eastAsia="en-GB"/>
        </w:rPr>
        <w:t>, ULHT Together Facebook page, exec blogs, videos, posters, intranet etc.</w:t>
      </w:r>
    </w:p>
    <w:p w:rsidR="00A23B1B" w:rsidRPr="00A23B1B" w:rsidRDefault="00A23B1B" w:rsidP="00A23B1B">
      <w:pPr>
        <w:rPr>
          <w:rFonts w:eastAsia="Times New Roman" w:cs="Arial"/>
          <w:szCs w:val="24"/>
          <w:lang w:eastAsia="en-GB"/>
        </w:rPr>
      </w:pPr>
      <w:r w:rsidRPr="00A23B1B">
        <w:rPr>
          <w:rFonts w:eastAsia="Times New Roman" w:cs="Arial"/>
          <w:szCs w:val="24"/>
          <w:lang w:eastAsia="en-GB"/>
        </w:rPr>
        <w:t xml:space="preserve">External </w:t>
      </w:r>
      <w:proofErr w:type="spellStart"/>
      <w:r w:rsidRPr="00A23B1B">
        <w:rPr>
          <w:rFonts w:eastAsia="Times New Roman" w:cs="Arial"/>
          <w:szCs w:val="24"/>
          <w:lang w:eastAsia="en-GB"/>
        </w:rPr>
        <w:t>comms</w:t>
      </w:r>
      <w:proofErr w:type="spellEnd"/>
      <w:r w:rsidRPr="00A23B1B">
        <w:rPr>
          <w:rFonts w:eastAsia="Times New Roman" w:cs="Arial"/>
          <w:szCs w:val="24"/>
          <w:lang w:eastAsia="en-GB"/>
        </w:rPr>
        <w:t xml:space="preserve"> – corporate social media accounts, press releases, stakeholder messages, website, monthly columns in local media, videos etc.</w:t>
      </w:r>
    </w:p>
    <w:p w:rsidR="00A23B1B" w:rsidRPr="00A23B1B" w:rsidRDefault="00A23B1B" w:rsidP="00A23B1B">
      <w:pPr>
        <w:rPr>
          <w:rFonts w:eastAsia="Times New Roman" w:cs="Arial"/>
          <w:b/>
          <w:szCs w:val="24"/>
          <w:lang w:eastAsia="en-GB"/>
        </w:rPr>
      </w:pPr>
    </w:p>
    <w:tbl>
      <w:tblPr>
        <w:tblStyle w:val="LightList-Accent1"/>
        <w:tblW w:w="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36"/>
        <w:gridCol w:w="1236"/>
        <w:gridCol w:w="1322"/>
        <w:gridCol w:w="2693"/>
        <w:gridCol w:w="1163"/>
        <w:gridCol w:w="963"/>
        <w:gridCol w:w="1134"/>
      </w:tblGrid>
      <w:tr w:rsidR="00A23B1B" w:rsidRPr="00A23B1B" w:rsidTr="00A23B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szCs w:val="24"/>
              </w:rPr>
            </w:pPr>
            <w:r w:rsidRPr="00A23B1B">
              <w:rPr>
                <w:rFonts w:cs="Arial"/>
                <w:sz w:val="20"/>
                <w:szCs w:val="24"/>
              </w:rPr>
              <w:t>Audience</w:t>
            </w:r>
          </w:p>
        </w:tc>
        <w:tc>
          <w:tcPr>
            <w:cnfStyle w:val="000010000000" w:firstRow="0" w:lastRow="0" w:firstColumn="0" w:lastColumn="0" w:oddVBand="1" w:evenVBand="0" w:oddHBand="0" w:evenHBand="0" w:firstRowFirstColumn="0" w:firstRowLastColumn="0" w:lastRowFirstColumn="0" w:lastRowLastColumn="0"/>
            <w:tcW w:w="1236" w:type="dxa"/>
            <w:tcBorders>
              <w:bottom w:val="single" w:sz="4" w:space="0" w:color="4F81BD" w:themeColor="accent1"/>
            </w:tcBorders>
            <w:hideMark/>
          </w:tcPr>
          <w:p w:rsidR="00A23B1B" w:rsidRPr="00A23B1B" w:rsidRDefault="00A23B1B" w:rsidP="00A23B1B">
            <w:pPr>
              <w:rPr>
                <w:rFonts w:cs="Arial"/>
                <w:sz w:val="20"/>
                <w:szCs w:val="24"/>
              </w:rPr>
            </w:pPr>
            <w:r w:rsidRPr="00A23B1B">
              <w:rPr>
                <w:rFonts w:cs="Arial"/>
                <w:sz w:val="20"/>
                <w:szCs w:val="24"/>
              </w:rPr>
              <w:t>Format or method</w:t>
            </w:r>
          </w:p>
        </w:tc>
        <w:tc>
          <w:tcPr>
            <w:tcW w:w="1322"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100000000000" w:firstRow="1" w:lastRow="0" w:firstColumn="0" w:lastColumn="0" w:oddVBand="0" w:evenVBand="0" w:oddHBand="0" w:evenHBand="0" w:firstRowFirstColumn="0" w:firstRowLastColumn="0" w:lastRowFirstColumn="0" w:lastRowLastColumn="0"/>
              <w:rPr>
                <w:rFonts w:cs="Arial"/>
                <w:sz w:val="20"/>
                <w:szCs w:val="24"/>
              </w:rPr>
            </w:pPr>
            <w:r w:rsidRPr="00A23B1B">
              <w:rPr>
                <w:rFonts w:cs="Arial"/>
                <w:sz w:val="20"/>
                <w:szCs w:val="24"/>
              </w:rPr>
              <w:t>Message</w:t>
            </w:r>
          </w:p>
        </w:tc>
        <w:tc>
          <w:tcPr>
            <w:cnfStyle w:val="000010000000" w:firstRow="0" w:lastRow="0" w:firstColumn="0" w:lastColumn="0" w:oddVBand="1" w:evenVBand="0" w:oddHBand="0" w:evenHBand="0" w:firstRowFirstColumn="0" w:firstRowLastColumn="0" w:lastRowFirstColumn="0" w:lastRowLastColumn="0"/>
            <w:tcW w:w="2693" w:type="dxa"/>
            <w:tcBorders>
              <w:bottom w:val="single" w:sz="4" w:space="0" w:color="4F81BD" w:themeColor="accent1"/>
            </w:tcBorders>
            <w:hideMark/>
          </w:tcPr>
          <w:p w:rsidR="00A23B1B" w:rsidRPr="00A23B1B" w:rsidRDefault="00A23B1B" w:rsidP="00A23B1B">
            <w:pPr>
              <w:rPr>
                <w:rFonts w:cs="Arial"/>
                <w:sz w:val="20"/>
                <w:szCs w:val="24"/>
              </w:rPr>
            </w:pPr>
            <w:r w:rsidRPr="00A23B1B">
              <w:rPr>
                <w:rFonts w:cs="Arial"/>
                <w:sz w:val="20"/>
                <w:szCs w:val="24"/>
              </w:rPr>
              <w:t>Channel/ outlet</w:t>
            </w:r>
          </w:p>
        </w:tc>
        <w:tc>
          <w:tcPr>
            <w:tcW w:w="11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100000000000" w:firstRow="1" w:lastRow="0" w:firstColumn="0" w:lastColumn="0" w:oddVBand="0" w:evenVBand="0" w:oddHBand="0" w:evenHBand="0" w:firstRowFirstColumn="0" w:firstRowLastColumn="0" w:lastRowFirstColumn="0" w:lastRowLastColumn="0"/>
              <w:rPr>
                <w:rFonts w:cs="Arial"/>
                <w:sz w:val="20"/>
                <w:szCs w:val="24"/>
              </w:rPr>
            </w:pPr>
            <w:r w:rsidRPr="00A23B1B">
              <w:rPr>
                <w:rFonts w:cs="Arial"/>
                <w:sz w:val="20"/>
                <w:szCs w:val="24"/>
              </w:rPr>
              <w:t>Timing</w:t>
            </w:r>
          </w:p>
        </w:tc>
        <w:tc>
          <w:tcPr>
            <w:cnfStyle w:val="000010000000" w:firstRow="0" w:lastRow="0" w:firstColumn="0" w:lastColumn="0" w:oddVBand="1" w:evenVBand="0" w:oddHBand="0" w:evenHBand="0" w:firstRowFirstColumn="0" w:firstRowLastColumn="0" w:lastRowFirstColumn="0" w:lastRowLastColumn="0"/>
            <w:tcW w:w="963" w:type="dxa"/>
            <w:tcBorders>
              <w:bottom w:val="single" w:sz="4" w:space="0" w:color="4F81BD" w:themeColor="accent1"/>
            </w:tcBorders>
            <w:hideMark/>
          </w:tcPr>
          <w:p w:rsidR="00A23B1B" w:rsidRPr="00A23B1B" w:rsidRDefault="00A23B1B" w:rsidP="00A23B1B">
            <w:pPr>
              <w:rPr>
                <w:rFonts w:cs="Arial"/>
                <w:sz w:val="20"/>
                <w:szCs w:val="24"/>
              </w:rPr>
            </w:pPr>
            <w:proofErr w:type="spellStart"/>
            <w:r w:rsidRPr="00A23B1B">
              <w:rPr>
                <w:rFonts w:cs="Arial"/>
                <w:sz w:val="20"/>
                <w:szCs w:val="24"/>
              </w:rPr>
              <w:t>Comms</w:t>
            </w:r>
            <w:proofErr w:type="spellEnd"/>
          </w:p>
          <w:p w:rsidR="00A23B1B" w:rsidRPr="00A23B1B" w:rsidRDefault="00A23B1B" w:rsidP="00A23B1B">
            <w:pPr>
              <w:rPr>
                <w:rFonts w:cs="Arial"/>
                <w:sz w:val="20"/>
                <w:szCs w:val="24"/>
              </w:rPr>
            </w:pPr>
            <w:r w:rsidRPr="00A23B1B">
              <w:rPr>
                <w:rFonts w:cs="Arial"/>
                <w:sz w:val="20"/>
                <w:szCs w:val="24"/>
              </w:rPr>
              <w:t>Lead</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szCs w:val="24"/>
              </w:rPr>
            </w:pPr>
            <w:r w:rsidRPr="00A23B1B">
              <w:rPr>
                <w:rFonts w:cs="Arial"/>
                <w:sz w:val="20"/>
                <w:szCs w:val="24"/>
              </w:rPr>
              <w:t>Progress</w:t>
            </w:r>
          </w:p>
        </w:tc>
      </w:tr>
      <w:tr w:rsidR="00A23B1B" w:rsidRPr="00A23B1B" w:rsidTr="00A23B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6" w:type="dxa"/>
            <w:tcBorders>
              <w:right w:val="single" w:sz="4" w:space="0" w:color="4F81BD" w:themeColor="accent1"/>
            </w:tcBorders>
            <w:hideMark/>
          </w:tcPr>
          <w:p w:rsidR="00A23B1B" w:rsidRPr="00A23B1B" w:rsidRDefault="00A23B1B" w:rsidP="00A23B1B">
            <w:pPr>
              <w:rPr>
                <w:rFonts w:cs="Arial"/>
                <w:sz w:val="20"/>
              </w:rPr>
            </w:pPr>
            <w:r w:rsidRPr="00A23B1B">
              <w:rPr>
                <w:rFonts w:cs="Arial"/>
                <w:sz w:val="20"/>
              </w:rPr>
              <w:lastRenderedPageBreak/>
              <w:t>Staff</w:t>
            </w:r>
          </w:p>
        </w:tc>
        <w:tc>
          <w:tcPr>
            <w:cnfStyle w:val="000010000000" w:firstRow="0" w:lastRow="0" w:firstColumn="0" w:lastColumn="0" w:oddVBand="1" w:evenVBand="0" w:oddHBand="0" w:evenHBand="0" w:firstRowFirstColumn="0" w:firstRowLastColumn="0" w:lastRowFirstColumn="0" w:lastRowLastColumn="0"/>
            <w:tcW w:w="1236" w:type="dxa"/>
            <w:hideMark/>
          </w:tcPr>
          <w:p w:rsidR="00A23B1B" w:rsidRPr="00A23B1B" w:rsidRDefault="00A23B1B" w:rsidP="00A23B1B">
            <w:pPr>
              <w:rPr>
                <w:rFonts w:cs="Arial"/>
                <w:sz w:val="20"/>
              </w:rPr>
            </w:pPr>
            <w:r w:rsidRPr="00A23B1B">
              <w:rPr>
                <w:rFonts w:cs="Arial"/>
                <w:sz w:val="20"/>
              </w:rPr>
              <w:t>One off email</w:t>
            </w:r>
          </w:p>
        </w:tc>
        <w:tc>
          <w:tcPr>
            <w:tcW w:w="1322" w:type="dxa"/>
            <w:tcBorders>
              <w:left w:val="single" w:sz="4" w:space="0" w:color="auto"/>
              <w:right w:val="single" w:sz="4" w:space="0" w:color="auto"/>
            </w:tcBorders>
            <w:hideMark/>
          </w:tcPr>
          <w:p w:rsidR="00A23B1B" w:rsidRPr="00A23B1B" w:rsidRDefault="004E77B4" w:rsidP="00A23B1B">
            <w:pPr>
              <w:cnfStyle w:val="000000100000" w:firstRow="0" w:lastRow="0" w:firstColumn="0" w:lastColumn="0" w:oddVBand="0" w:evenVBand="0" w:oddHBand="1" w:evenHBand="0" w:firstRowFirstColumn="0" w:firstRowLastColumn="0" w:lastRowFirstColumn="0" w:lastRowLastColumn="0"/>
              <w:rPr>
                <w:rFonts w:cs="Arial"/>
                <w:sz w:val="20"/>
              </w:rPr>
            </w:pPr>
            <w:hyperlink r:id="rId70" w:history="1">
              <w:r w:rsidR="00A23B1B" w:rsidRPr="00A23B1B">
                <w:rPr>
                  <w:rFonts w:cs="Arial"/>
                  <w:color w:val="0000FF" w:themeColor="hyperlink"/>
                  <w:sz w:val="20"/>
                  <w:u w:val="single"/>
                </w:rPr>
                <w:t>Funding announced and Boris visit</w:t>
              </w:r>
            </w:hyperlink>
          </w:p>
        </w:tc>
        <w:tc>
          <w:tcPr>
            <w:cnfStyle w:val="000010000000" w:firstRow="0" w:lastRow="0" w:firstColumn="0" w:lastColumn="0" w:oddVBand="1" w:evenVBand="0" w:oddHBand="0" w:evenHBand="0" w:firstRowFirstColumn="0" w:firstRowLastColumn="0" w:lastRowFirstColumn="0" w:lastRowLastColumn="0"/>
            <w:tcW w:w="2693" w:type="dxa"/>
            <w:hideMark/>
          </w:tcPr>
          <w:p w:rsidR="00A23B1B" w:rsidRPr="00A23B1B" w:rsidRDefault="00A23B1B" w:rsidP="00A23B1B">
            <w:pPr>
              <w:rPr>
                <w:rFonts w:cs="Arial"/>
                <w:sz w:val="20"/>
              </w:rPr>
            </w:pPr>
            <w:r w:rsidRPr="00A23B1B">
              <w:rPr>
                <w:rFonts w:cs="Arial"/>
                <w:sz w:val="20"/>
              </w:rPr>
              <w:t>ULHT intranet</w:t>
            </w:r>
          </w:p>
          <w:p w:rsidR="00A23B1B" w:rsidRPr="00A23B1B" w:rsidRDefault="00A23B1B" w:rsidP="00A23B1B">
            <w:pPr>
              <w:rPr>
                <w:rFonts w:cs="Arial"/>
                <w:sz w:val="20"/>
              </w:rPr>
            </w:pPr>
            <w:r w:rsidRPr="00A23B1B">
              <w:rPr>
                <w:rFonts w:cs="Arial"/>
                <w:sz w:val="20"/>
              </w:rPr>
              <w:t>Email</w:t>
            </w:r>
          </w:p>
          <w:p w:rsidR="00A23B1B" w:rsidRPr="00A23B1B" w:rsidRDefault="00A23B1B" w:rsidP="00A23B1B">
            <w:pPr>
              <w:rPr>
                <w:rFonts w:cs="Arial"/>
                <w:sz w:val="20"/>
              </w:rPr>
            </w:pPr>
            <w:r w:rsidRPr="00A23B1B">
              <w:rPr>
                <w:rFonts w:cs="Arial"/>
                <w:sz w:val="20"/>
              </w:rPr>
              <w:t>Facebook</w:t>
            </w:r>
          </w:p>
          <w:p w:rsidR="00A23B1B" w:rsidRPr="00A23B1B" w:rsidRDefault="00A23B1B" w:rsidP="00A23B1B">
            <w:pPr>
              <w:rPr>
                <w:rFonts w:cs="Arial"/>
                <w:sz w:val="20"/>
              </w:rPr>
            </w:pPr>
            <w:r w:rsidRPr="00A23B1B">
              <w:rPr>
                <w:rFonts w:cs="Arial"/>
                <w:sz w:val="20"/>
              </w:rPr>
              <w:t>Round up</w:t>
            </w:r>
          </w:p>
          <w:p w:rsidR="00A23B1B" w:rsidRPr="00A23B1B" w:rsidRDefault="00A23B1B" w:rsidP="00A23B1B">
            <w:pPr>
              <w:rPr>
                <w:rFonts w:cs="Arial"/>
                <w:sz w:val="20"/>
              </w:rPr>
            </w:pPr>
            <w:r w:rsidRPr="00A23B1B">
              <w:rPr>
                <w:rFonts w:cs="Arial"/>
                <w:sz w:val="20"/>
              </w:rPr>
              <w:t>Blogs</w:t>
            </w:r>
          </w:p>
        </w:tc>
        <w:tc>
          <w:tcPr>
            <w:tcW w:w="1163" w:type="dxa"/>
            <w:tcBorders>
              <w:left w:val="single" w:sz="4" w:space="0" w:color="auto"/>
              <w:right w:val="single" w:sz="4" w:space="0" w:color="auto"/>
            </w:tcBorders>
            <w:hideMark/>
          </w:tcPr>
          <w:p w:rsidR="00A23B1B" w:rsidRPr="00A23B1B" w:rsidRDefault="00A23B1B" w:rsidP="00A23B1B">
            <w:pPr>
              <w:cnfStyle w:val="000000100000" w:firstRow="0" w:lastRow="0" w:firstColumn="0" w:lastColumn="0" w:oddVBand="0" w:evenVBand="0" w:oddHBand="1" w:evenHBand="0" w:firstRowFirstColumn="0" w:firstRowLastColumn="0" w:lastRowFirstColumn="0" w:lastRowLastColumn="0"/>
              <w:rPr>
                <w:rFonts w:cs="Arial"/>
                <w:sz w:val="20"/>
              </w:rPr>
            </w:pPr>
            <w:r w:rsidRPr="00A23B1B">
              <w:rPr>
                <w:rFonts w:cs="Arial"/>
                <w:sz w:val="20"/>
              </w:rPr>
              <w:t>August 2019</w:t>
            </w:r>
          </w:p>
        </w:tc>
        <w:tc>
          <w:tcPr>
            <w:cnfStyle w:val="000010000000" w:firstRow="0" w:lastRow="0" w:firstColumn="0" w:lastColumn="0" w:oddVBand="1" w:evenVBand="0" w:oddHBand="0" w:evenHBand="0" w:firstRowFirstColumn="0" w:firstRowLastColumn="0" w:lastRowFirstColumn="0" w:lastRowLastColumn="0"/>
            <w:tcW w:w="963" w:type="dxa"/>
            <w:hideMark/>
          </w:tcPr>
          <w:p w:rsidR="00A23B1B" w:rsidRPr="00A23B1B" w:rsidRDefault="00A23B1B" w:rsidP="00A23B1B">
            <w:pPr>
              <w:rPr>
                <w:rFonts w:cs="Arial"/>
                <w:sz w:val="20"/>
              </w:rPr>
            </w:pPr>
          </w:p>
        </w:tc>
        <w:tc>
          <w:tcPr>
            <w:cnfStyle w:val="000100000000" w:firstRow="0" w:lastRow="0" w:firstColumn="0" w:lastColumn="1" w:oddVBand="0" w:evenVBand="0" w:oddHBand="0" w:evenHBand="0" w:firstRowFirstColumn="0" w:firstRowLastColumn="0" w:lastRowFirstColumn="0" w:lastRowLastColumn="0"/>
            <w:tcW w:w="1134" w:type="dxa"/>
            <w:tcBorders>
              <w:left w:val="single" w:sz="4" w:space="0" w:color="auto"/>
            </w:tcBorders>
            <w:shd w:val="clear" w:color="auto" w:fill="00B050"/>
          </w:tcPr>
          <w:p w:rsidR="00A23B1B" w:rsidRPr="00A23B1B" w:rsidRDefault="00A23B1B" w:rsidP="00A23B1B">
            <w:pPr>
              <w:rPr>
                <w:rFonts w:cs="Arial"/>
                <w:sz w:val="20"/>
              </w:rPr>
            </w:pPr>
            <w:r w:rsidRPr="00A23B1B">
              <w:rPr>
                <w:rFonts w:cs="Arial"/>
                <w:sz w:val="20"/>
              </w:rPr>
              <w:t>Done</w:t>
            </w:r>
          </w:p>
          <w:p w:rsidR="00A23B1B" w:rsidRPr="00A23B1B" w:rsidRDefault="00A23B1B" w:rsidP="00A23B1B">
            <w:pPr>
              <w:rPr>
                <w:rFonts w:cs="Arial"/>
                <w:sz w:val="20"/>
              </w:rPr>
            </w:pPr>
          </w:p>
          <w:p w:rsidR="00A23B1B" w:rsidRPr="00A23B1B" w:rsidRDefault="00A23B1B" w:rsidP="00A23B1B">
            <w:pPr>
              <w:rPr>
                <w:rFonts w:cs="Arial"/>
                <w:sz w:val="20"/>
              </w:rPr>
            </w:pPr>
          </w:p>
        </w:tc>
      </w:tr>
      <w:tr w:rsidR="00A23B1B" w:rsidRPr="00A23B1B" w:rsidTr="00A23B1B">
        <w:tc>
          <w:tcPr>
            <w:cnfStyle w:val="001000000000" w:firstRow="0" w:lastRow="0" w:firstColumn="1" w:lastColumn="0" w:oddVBand="0"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Public</w:t>
            </w:r>
          </w:p>
        </w:tc>
        <w:tc>
          <w:tcPr>
            <w:cnfStyle w:val="000010000000" w:firstRow="0" w:lastRow="0" w:firstColumn="0" w:lastColumn="0" w:oddVBand="1" w:evenVBand="0" w:oddHBand="0" w:evenHBand="0" w:firstRowFirstColumn="0" w:firstRowLastColumn="0" w:lastRowFirstColumn="0" w:lastRowLastColumn="0"/>
            <w:tcW w:w="1236" w:type="dxa"/>
            <w:tcBorders>
              <w:top w:val="single" w:sz="4" w:space="0" w:color="auto"/>
              <w:bottom w:val="single" w:sz="4" w:space="0" w:color="auto"/>
            </w:tcBorders>
            <w:hideMark/>
          </w:tcPr>
          <w:p w:rsidR="00A23B1B" w:rsidRPr="00A23B1B" w:rsidRDefault="00A23B1B" w:rsidP="00A23B1B">
            <w:pPr>
              <w:rPr>
                <w:rFonts w:cs="Arial"/>
                <w:sz w:val="20"/>
              </w:rPr>
            </w:pPr>
            <w:r w:rsidRPr="00A23B1B">
              <w:rPr>
                <w:rFonts w:cs="Arial"/>
                <w:sz w:val="20"/>
              </w:rPr>
              <w:t xml:space="preserve">Press release </w:t>
            </w:r>
          </w:p>
        </w:tc>
        <w:tc>
          <w:tcPr>
            <w:tcW w:w="1322" w:type="dxa"/>
            <w:tcBorders>
              <w:top w:val="single" w:sz="4" w:space="0" w:color="auto"/>
              <w:left w:val="single" w:sz="4" w:space="0" w:color="auto"/>
              <w:bottom w:val="single" w:sz="4" w:space="0" w:color="auto"/>
              <w:right w:val="single" w:sz="4" w:space="0" w:color="auto"/>
            </w:tcBorders>
            <w:hideMark/>
          </w:tcPr>
          <w:p w:rsidR="00A23B1B" w:rsidRPr="00A23B1B" w:rsidRDefault="004E77B4" w:rsidP="00A23B1B">
            <w:pPr>
              <w:cnfStyle w:val="000000000000" w:firstRow="0" w:lastRow="0" w:firstColumn="0" w:lastColumn="0" w:oddVBand="0" w:evenVBand="0" w:oddHBand="0" w:evenHBand="0" w:firstRowFirstColumn="0" w:firstRowLastColumn="0" w:lastRowFirstColumn="0" w:lastRowLastColumn="0"/>
              <w:rPr>
                <w:rFonts w:cs="Arial"/>
                <w:sz w:val="20"/>
              </w:rPr>
            </w:pPr>
            <w:hyperlink r:id="rId71" w:history="1">
              <w:r w:rsidR="00A23B1B" w:rsidRPr="00A23B1B">
                <w:rPr>
                  <w:rFonts w:cs="Arial"/>
                  <w:color w:val="0000FF" w:themeColor="hyperlink"/>
                  <w:sz w:val="20"/>
                  <w:u w:val="single"/>
                </w:rPr>
                <w:t>Funding announced and Boris visit</w:t>
              </w:r>
            </w:hyperlink>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bottom w:val="single" w:sz="4" w:space="0" w:color="auto"/>
            </w:tcBorders>
            <w:hideMark/>
          </w:tcPr>
          <w:p w:rsidR="00A23B1B" w:rsidRPr="00A23B1B" w:rsidRDefault="004E77B4" w:rsidP="00A23B1B">
            <w:pPr>
              <w:rPr>
                <w:rFonts w:cs="Arial"/>
                <w:sz w:val="20"/>
              </w:rPr>
            </w:pPr>
            <w:hyperlink r:id="rId72" w:history="1">
              <w:r w:rsidR="00A23B1B" w:rsidRPr="00A23B1B">
                <w:rPr>
                  <w:rFonts w:cs="Arial"/>
                  <w:color w:val="0000FF" w:themeColor="hyperlink"/>
                  <w:sz w:val="20"/>
                  <w:u w:val="single"/>
                </w:rPr>
                <w:t>ULHT website</w:t>
              </w:r>
            </w:hyperlink>
          </w:p>
          <w:p w:rsidR="00A23B1B" w:rsidRPr="00A23B1B" w:rsidRDefault="00A23B1B" w:rsidP="00A23B1B">
            <w:pPr>
              <w:rPr>
                <w:rFonts w:cs="Arial"/>
                <w:sz w:val="20"/>
              </w:rPr>
            </w:pPr>
            <w:r w:rsidRPr="00A23B1B">
              <w:rPr>
                <w:rFonts w:cs="Arial"/>
                <w:sz w:val="20"/>
              </w:rPr>
              <w:t>ULHT social media accounts and Press release</w:t>
            </w:r>
          </w:p>
          <w:p w:rsidR="00A23B1B" w:rsidRPr="00A23B1B" w:rsidRDefault="00A23B1B" w:rsidP="00A23B1B">
            <w:pPr>
              <w:rPr>
                <w:rFonts w:cs="Arial"/>
                <w:sz w:val="20"/>
              </w:rPr>
            </w:pPr>
            <w:r w:rsidRPr="00A23B1B">
              <w:rPr>
                <w:rFonts w:cs="Arial"/>
                <w:sz w:val="20"/>
              </w:rPr>
              <w:t>Press release and media interviews</w:t>
            </w:r>
          </w:p>
        </w:tc>
        <w:tc>
          <w:tcPr>
            <w:tcW w:w="11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000000" w:firstRow="0" w:lastRow="0" w:firstColumn="0" w:lastColumn="0" w:oddVBand="0" w:evenVBand="0" w:oddHBand="0" w:evenHBand="0" w:firstRowFirstColumn="0" w:firstRowLastColumn="0" w:lastRowFirstColumn="0" w:lastRowLastColumn="0"/>
              <w:rPr>
                <w:rFonts w:cs="Arial"/>
                <w:sz w:val="20"/>
              </w:rPr>
            </w:pPr>
            <w:r w:rsidRPr="00A23B1B">
              <w:rPr>
                <w:rFonts w:cs="Arial"/>
                <w:sz w:val="20"/>
              </w:rPr>
              <w:t>August 2019</w:t>
            </w:r>
          </w:p>
        </w:tc>
        <w:tc>
          <w:tcPr>
            <w:cnfStyle w:val="000010000000" w:firstRow="0" w:lastRow="0" w:firstColumn="0" w:lastColumn="0" w:oddVBand="1" w:evenVBand="0" w:oddHBand="0" w:evenHBand="0" w:firstRowFirstColumn="0" w:firstRowLastColumn="0" w:lastRowFirstColumn="0" w:lastRowLastColumn="0"/>
            <w:tcW w:w="963" w:type="dxa"/>
            <w:tcBorders>
              <w:top w:val="single" w:sz="4" w:space="0" w:color="auto"/>
              <w:bottom w:val="single" w:sz="4" w:space="0" w:color="auto"/>
            </w:tcBorders>
            <w:hideMark/>
          </w:tcPr>
          <w:p w:rsidR="00A23B1B" w:rsidRPr="00A23B1B" w:rsidRDefault="00A23B1B" w:rsidP="00A23B1B">
            <w:pPr>
              <w:rPr>
                <w:rFonts w:cs="Arial"/>
                <w:sz w:val="20"/>
              </w:rPr>
            </w:pP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00B050"/>
            <w:hideMark/>
          </w:tcPr>
          <w:p w:rsidR="00A23B1B" w:rsidRPr="00A23B1B" w:rsidRDefault="00A23B1B" w:rsidP="00A23B1B">
            <w:pPr>
              <w:rPr>
                <w:rFonts w:cs="Arial"/>
                <w:sz w:val="20"/>
              </w:rPr>
            </w:pPr>
            <w:r w:rsidRPr="00A23B1B">
              <w:rPr>
                <w:rFonts w:cs="Arial"/>
                <w:sz w:val="20"/>
              </w:rPr>
              <w:t>Done</w:t>
            </w:r>
          </w:p>
        </w:tc>
      </w:tr>
      <w:tr w:rsidR="00A23B1B" w:rsidRPr="00A23B1B" w:rsidTr="00A23B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Public</w:t>
            </w:r>
          </w:p>
        </w:tc>
        <w:tc>
          <w:tcPr>
            <w:cnfStyle w:val="000010000000" w:firstRow="0" w:lastRow="0" w:firstColumn="0" w:lastColumn="0" w:oddVBand="1"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Column by A&amp;E consultant</w:t>
            </w:r>
          </w:p>
        </w:tc>
        <w:tc>
          <w:tcPr>
            <w:tcW w:w="1322"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100000" w:firstRow="0" w:lastRow="0" w:firstColumn="0" w:lastColumn="0" w:oddVBand="0" w:evenVBand="0" w:oddHBand="1" w:evenHBand="0" w:firstRowFirstColumn="0" w:firstRowLastColumn="0" w:lastRowFirstColumn="0" w:lastRowLastColumn="0"/>
              <w:rPr>
                <w:rFonts w:cs="Arial"/>
                <w:sz w:val="20"/>
              </w:rPr>
            </w:pPr>
            <w:r w:rsidRPr="00A23B1B">
              <w:rPr>
                <w:rFonts w:cs="Arial"/>
                <w:sz w:val="20"/>
              </w:rPr>
              <w:t>Work continues on project</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Local media</w:t>
            </w:r>
          </w:p>
        </w:tc>
        <w:tc>
          <w:tcPr>
            <w:tcW w:w="11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100000" w:firstRow="0" w:lastRow="0" w:firstColumn="0" w:lastColumn="0" w:oddVBand="0" w:evenVBand="0" w:oddHBand="1" w:evenHBand="0" w:firstRowFirstColumn="0" w:firstRowLastColumn="0" w:lastRowFirstColumn="0" w:lastRowLastColumn="0"/>
              <w:rPr>
                <w:rFonts w:cs="Arial"/>
                <w:sz w:val="20"/>
              </w:rPr>
            </w:pPr>
            <w:r w:rsidRPr="00A23B1B">
              <w:rPr>
                <w:rFonts w:cs="Arial"/>
                <w:sz w:val="20"/>
              </w:rPr>
              <w:t>March 2020</w:t>
            </w:r>
          </w:p>
        </w:tc>
        <w:tc>
          <w:tcPr>
            <w:cnfStyle w:val="000010000000" w:firstRow="0" w:lastRow="0" w:firstColumn="0" w:lastColumn="0" w:oddVBand="1" w:evenVBand="0" w:oddHBand="0" w:evenHBand="0" w:firstRowFirstColumn="0" w:firstRowLastColumn="0" w:lastRowFirstColumn="0" w:lastRowLastColumn="0"/>
            <w:tcW w:w="9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00B050"/>
            <w:hideMark/>
          </w:tcPr>
          <w:p w:rsidR="00A23B1B" w:rsidRPr="00A23B1B" w:rsidRDefault="00A23B1B" w:rsidP="00A23B1B">
            <w:pPr>
              <w:rPr>
                <w:rFonts w:cs="Arial"/>
                <w:sz w:val="20"/>
              </w:rPr>
            </w:pPr>
            <w:r w:rsidRPr="00A23B1B">
              <w:rPr>
                <w:rFonts w:cs="Arial"/>
                <w:sz w:val="20"/>
              </w:rPr>
              <w:t>Done</w:t>
            </w:r>
          </w:p>
        </w:tc>
      </w:tr>
      <w:tr w:rsidR="00A23B1B" w:rsidRPr="00A23B1B" w:rsidTr="00A23B1B">
        <w:tc>
          <w:tcPr>
            <w:cnfStyle w:val="001000000000" w:firstRow="0" w:lastRow="0" w:firstColumn="1" w:lastColumn="0" w:oddVBand="0"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Staff</w:t>
            </w:r>
          </w:p>
        </w:tc>
        <w:tc>
          <w:tcPr>
            <w:cnfStyle w:val="000010000000" w:firstRow="0" w:lastRow="0" w:firstColumn="0" w:lastColumn="0" w:oddVBand="1"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Staff update</w:t>
            </w:r>
          </w:p>
        </w:tc>
        <w:tc>
          <w:tcPr>
            <w:tcW w:w="1322"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000000" w:firstRow="0" w:lastRow="0" w:firstColumn="0" w:lastColumn="0" w:oddVBand="0" w:evenVBand="0" w:oddHBand="0" w:evenHBand="0" w:firstRowFirstColumn="0" w:firstRowLastColumn="0" w:lastRowFirstColumn="0" w:lastRowLastColumn="0"/>
              <w:rPr>
                <w:rFonts w:cs="Arial"/>
                <w:sz w:val="20"/>
              </w:rPr>
            </w:pPr>
            <w:r w:rsidRPr="00A23B1B">
              <w:rPr>
                <w:rFonts w:cs="Arial"/>
                <w:sz w:val="20"/>
              </w:rPr>
              <w:t xml:space="preserve">Work is progressing </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Weekly round up</w:t>
            </w:r>
          </w:p>
          <w:p w:rsidR="00A23B1B" w:rsidRPr="00A23B1B" w:rsidRDefault="00A23B1B" w:rsidP="00A23B1B">
            <w:pPr>
              <w:rPr>
                <w:rFonts w:cs="Arial"/>
                <w:sz w:val="20"/>
              </w:rPr>
            </w:pPr>
            <w:r w:rsidRPr="00A23B1B">
              <w:rPr>
                <w:rFonts w:cs="Arial"/>
                <w:sz w:val="20"/>
              </w:rPr>
              <w:t>Newsletter</w:t>
            </w:r>
          </w:p>
          <w:p w:rsidR="00A23B1B" w:rsidRPr="00A23B1B" w:rsidRDefault="00A23B1B" w:rsidP="00A23B1B">
            <w:pPr>
              <w:rPr>
                <w:rFonts w:cs="Arial"/>
                <w:sz w:val="20"/>
              </w:rPr>
            </w:pPr>
            <w:r w:rsidRPr="00A23B1B">
              <w:rPr>
                <w:rFonts w:cs="Arial"/>
                <w:sz w:val="20"/>
              </w:rPr>
              <w:t>intranet</w:t>
            </w:r>
          </w:p>
        </w:tc>
        <w:tc>
          <w:tcPr>
            <w:tcW w:w="11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000000" w:firstRow="0" w:lastRow="0" w:firstColumn="0" w:lastColumn="0" w:oddVBand="0" w:evenVBand="0" w:oddHBand="0" w:evenHBand="0" w:firstRowFirstColumn="0" w:firstRowLastColumn="0" w:lastRowFirstColumn="0" w:lastRowLastColumn="0"/>
              <w:rPr>
                <w:rFonts w:cs="Arial"/>
                <w:sz w:val="20"/>
              </w:rPr>
            </w:pPr>
            <w:r w:rsidRPr="00A23B1B">
              <w:rPr>
                <w:rFonts w:cs="Arial"/>
                <w:sz w:val="20"/>
              </w:rPr>
              <w:t>July 2021</w:t>
            </w:r>
          </w:p>
        </w:tc>
        <w:tc>
          <w:tcPr>
            <w:cnfStyle w:val="000010000000" w:firstRow="0" w:lastRow="0" w:firstColumn="0" w:lastColumn="0" w:oddVBand="1" w:evenVBand="0" w:oddHBand="0" w:evenHBand="0" w:firstRowFirstColumn="0" w:firstRowLastColumn="0" w:lastRowFirstColumn="0" w:lastRowLastColumn="0"/>
            <w:tcW w:w="9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00B050"/>
            <w:hideMark/>
          </w:tcPr>
          <w:p w:rsidR="00A23B1B" w:rsidRPr="00A23B1B" w:rsidRDefault="00A23B1B" w:rsidP="00A23B1B">
            <w:pPr>
              <w:rPr>
                <w:rFonts w:cs="Arial"/>
                <w:sz w:val="20"/>
              </w:rPr>
            </w:pPr>
            <w:r w:rsidRPr="00A23B1B">
              <w:rPr>
                <w:rFonts w:cs="Arial"/>
                <w:sz w:val="20"/>
              </w:rPr>
              <w:t>Done</w:t>
            </w:r>
          </w:p>
        </w:tc>
      </w:tr>
      <w:tr w:rsidR="00A23B1B" w:rsidRPr="00A23B1B" w:rsidTr="00A23B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Staff</w:t>
            </w:r>
          </w:p>
        </w:tc>
        <w:tc>
          <w:tcPr>
            <w:cnfStyle w:val="000010000000" w:firstRow="0" w:lastRow="0" w:firstColumn="0" w:lastColumn="0" w:oddVBand="1"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Staff update</w:t>
            </w:r>
          </w:p>
        </w:tc>
        <w:tc>
          <w:tcPr>
            <w:tcW w:w="1322"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100000" w:firstRow="0" w:lastRow="0" w:firstColumn="0" w:lastColumn="0" w:oddVBand="0" w:evenVBand="0" w:oddHBand="1" w:evenHBand="0" w:firstRowFirstColumn="0" w:firstRowLastColumn="0" w:lastRowFirstColumn="0" w:lastRowLastColumn="0"/>
              <w:rPr>
                <w:rFonts w:cs="Arial"/>
                <w:sz w:val="20"/>
              </w:rPr>
            </w:pPr>
            <w:r w:rsidRPr="00A23B1B">
              <w:rPr>
                <w:rFonts w:cs="Arial"/>
                <w:sz w:val="20"/>
              </w:rPr>
              <w:t xml:space="preserve">Work is progressing </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Weekly round up</w:t>
            </w:r>
          </w:p>
          <w:p w:rsidR="00A23B1B" w:rsidRPr="00A23B1B" w:rsidRDefault="00A23B1B" w:rsidP="00A23B1B">
            <w:pPr>
              <w:rPr>
                <w:rFonts w:cs="Arial"/>
                <w:sz w:val="20"/>
              </w:rPr>
            </w:pPr>
            <w:r w:rsidRPr="00A23B1B">
              <w:rPr>
                <w:rFonts w:cs="Arial"/>
                <w:sz w:val="20"/>
              </w:rPr>
              <w:t>Newsletter</w:t>
            </w:r>
          </w:p>
          <w:p w:rsidR="00A23B1B" w:rsidRPr="00A23B1B" w:rsidRDefault="00A23B1B" w:rsidP="00A23B1B">
            <w:pPr>
              <w:rPr>
                <w:rFonts w:cs="Arial"/>
                <w:sz w:val="20"/>
              </w:rPr>
            </w:pPr>
            <w:r w:rsidRPr="00A23B1B">
              <w:rPr>
                <w:rFonts w:cs="Arial"/>
                <w:sz w:val="20"/>
              </w:rPr>
              <w:t>Intranet</w:t>
            </w:r>
          </w:p>
        </w:tc>
        <w:tc>
          <w:tcPr>
            <w:tcW w:w="11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100000" w:firstRow="0" w:lastRow="0" w:firstColumn="0" w:lastColumn="0" w:oddVBand="0" w:evenVBand="0" w:oddHBand="1" w:evenHBand="0" w:firstRowFirstColumn="0" w:firstRowLastColumn="0" w:lastRowFirstColumn="0" w:lastRowLastColumn="0"/>
              <w:rPr>
                <w:rFonts w:cs="Arial"/>
                <w:sz w:val="20"/>
              </w:rPr>
            </w:pPr>
            <w:r w:rsidRPr="00A23B1B">
              <w:rPr>
                <w:rFonts w:cs="Arial"/>
                <w:sz w:val="20"/>
              </w:rPr>
              <w:t>August 2021</w:t>
            </w:r>
          </w:p>
        </w:tc>
        <w:tc>
          <w:tcPr>
            <w:cnfStyle w:val="000010000000" w:firstRow="0" w:lastRow="0" w:firstColumn="0" w:lastColumn="0" w:oddVBand="1" w:evenVBand="0" w:oddHBand="0" w:evenHBand="0" w:firstRowFirstColumn="0" w:firstRowLastColumn="0" w:lastRowFirstColumn="0" w:lastRowLastColumn="0"/>
            <w:tcW w:w="9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00B050"/>
            <w:hideMark/>
          </w:tcPr>
          <w:p w:rsidR="00A23B1B" w:rsidRPr="00A23B1B" w:rsidRDefault="00A23B1B" w:rsidP="00A23B1B">
            <w:pPr>
              <w:rPr>
                <w:rFonts w:cs="Arial"/>
                <w:sz w:val="20"/>
              </w:rPr>
            </w:pPr>
            <w:r w:rsidRPr="00A23B1B">
              <w:rPr>
                <w:rFonts w:cs="Arial"/>
                <w:sz w:val="20"/>
              </w:rPr>
              <w:t>Done</w:t>
            </w:r>
          </w:p>
        </w:tc>
      </w:tr>
      <w:tr w:rsidR="00A23B1B" w:rsidRPr="00A23B1B" w:rsidTr="00A23B1B">
        <w:tc>
          <w:tcPr>
            <w:cnfStyle w:val="001000000000" w:firstRow="0" w:lastRow="0" w:firstColumn="1" w:lastColumn="0" w:oddVBand="0"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Staff</w:t>
            </w:r>
          </w:p>
        </w:tc>
        <w:tc>
          <w:tcPr>
            <w:cnfStyle w:val="000010000000" w:firstRow="0" w:lastRow="0" w:firstColumn="0" w:lastColumn="0" w:oddVBand="1"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Staff update</w:t>
            </w:r>
          </w:p>
        </w:tc>
        <w:tc>
          <w:tcPr>
            <w:tcW w:w="1322"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000000" w:firstRow="0" w:lastRow="0" w:firstColumn="0" w:lastColumn="0" w:oddVBand="0" w:evenVBand="0" w:oddHBand="0" w:evenHBand="0" w:firstRowFirstColumn="0" w:firstRowLastColumn="0" w:lastRowFirstColumn="0" w:lastRowLastColumn="0"/>
              <w:rPr>
                <w:rFonts w:cs="Arial"/>
                <w:sz w:val="20"/>
              </w:rPr>
            </w:pPr>
            <w:r w:rsidRPr="00A23B1B">
              <w:rPr>
                <w:rFonts w:cs="Arial"/>
                <w:sz w:val="20"/>
              </w:rPr>
              <w:t>Work is progressing – these are the plans</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ULHT intranet</w:t>
            </w:r>
          </w:p>
          <w:p w:rsidR="00A23B1B" w:rsidRPr="00A23B1B" w:rsidRDefault="00A23B1B" w:rsidP="00A23B1B">
            <w:pPr>
              <w:rPr>
                <w:rFonts w:cs="Arial"/>
                <w:sz w:val="20"/>
              </w:rPr>
            </w:pPr>
            <w:r w:rsidRPr="00A23B1B">
              <w:rPr>
                <w:rFonts w:cs="Arial"/>
                <w:sz w:val="20"/>
              </w:rPr>
              <w:t>Facebook</w:t>
            </w:r>
          </w:p>
          <w:p w:rsidR="00A23B1B" w:rsidRPr="00A23B1B" w:rsidRDefault="00A23B1B" w:rsidP="00A23B1B">
            <w:pPr>
              <w:rPr>
                <w:rFonts w:cs="Arial"/>
                <w:sz w:val="20"/>
              </w:rPr>
            </w:pPr>
            <w:r w:rsidRPr="00A23B1B">
              <w:rPr>
                <w:rFonts w:cs="Arial"/>
                <w:sz w:val="20"/>
              </w:rPr>
              <w:t>Round up</w:t>
            </w:r>
          </w:p>
          <w:p w:rsidR="00A23B1B" w:rsidRPr="00A23B1B" w:rsidRDefault="00A23B1B" w:rsidP="00A23B1B">
            <w:pPr>
              <w:rPr>
                <w:rFonts w:cs="Arial"/>
                <w:sz w:val="20"/>
              </w:rPr>
            </w:pPr>
            <w:r w:rsidRPr="00A23B1B">
              <w:rPr>
                <w:rFonts w:cs="Arial"/>
                <w:sz w:val="20"/>
              </w:rPr>
              <w:t>Blogs</w:t>
            </w:r>
          </w:p>
          <w:p w:rsidR="00A23B1B" w:rsidRPr="00A23B1B" w:rsidRDefault="00A23B1B" w:rsidP="00A23B1B">
            <w:pPr>
              <w:rPr>
                <w:rFonts w:cs="Arial"/>
                <w:sz w:val="20"/>
              </w:rPr>
            </w:pPr>
            <w:r w:rsidRPr="00A23B1B">
              <w:rPr>
                <w:rFonts w:cs="Arial"/>
                <w:sz w:val="20"/>
              </w:rPr>
              <w:t>Artist’s impression</w:t>
            </w:r>
          </w:p>
        </w:tc>
        <w:tc>
          <w:tcPr>
            <w:tcW w:w="11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000000" w:firstRow="0" w:lastRow="0" w:firstColumn="0" w:lastColumn="0" w:oddVBand="0" w:evenVBand="0" w:oddHBand="0" w:evenHBand="0" w:firstRowFirstColumn="0" w:firstRowLastColumn="0" w:lastRowFirstColumn="0" w:lastRowLastColumn="0"/>
              <w:rPr>
                <w:rFonts w:cs="Arial"/>
                <w:sz w:val="20"/>
              </w:rPr>
            </w:pPr>
            <w:r w:rsidRPr="00A23B1B">
              <w:rPr>
                <w:rFonts w:cs="Arial"/>
                <w:sz w:val="20"/>
              </w:rPr>
              <w:t>From W/C 25/10/21</w:t>
            </w:r>
          </w:p>
        </w:tc>
        <w:tc>
          <w:tcPr>
            <w:cnfStyle w:val="000010000000" w:firstRow="0" w:lastRow="0" w:firstColumn="0" w:lastColumn="0" w:oddVBand="1" w:evenVBand="0" w:oddHBand="0" w:evenHBand="0" w:firstRowFirstColumn="0" w:firstRowLastColumn="0" w:lastRowFirstColumn="0" w:lastRowLastColumn="0"/>
            <w:tcW w:w="9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00B050"/>
            <w:hideMark/>
          </w:tcPr>
          <w:p w:rsidR="00A23B1B" w:rsidRPr="00A23B1B" w:rsidRDefault="00A23B1B" w:rsidP="00A23B1B">
            <w:pPr>
              <w:rPr>
                <w:rFonts w:cs="Arial"/>
                <w:sz w:val="20"/>
              </w:rPr>
            </w:pPr>
            <w:r w:rsidRPr="00A23B1B">
              <w:rPr>
                <w:rFonts w:cs="Arial"/>
                <w:sz w:val="20"/>
              </w:rPr>
              <w:t>Done</w:t>
            </w:r>
          </w:p>
        </w:tc>
      </w:tr>
      <w:tr w:rsidR="00A23B1B" w:rsidRPr="00A23B1B" w:rsidTr="00A23B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Public</w:t>
            </w:r>
          </w:p>
        </w:tc>
        <w:tc>
          <w:tcPr>
            <w:cnfStyle w:val="000010000000" w:firstRow="0" w:lastRow="0" w:firstColumn="0" w:lastColumn="0" w:oddVBand="1"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Press Release</w:t>
            </w:r>
          </w:p>
        </w:tc>
        <w:tc>
          <w:tcPr>
            <w:tcW w:w="1322"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100000" w:firstRow="0" w:lastRow="0" w:firstColumn="0" w:lastColumn="0" w:oddVBand="0" w:evenVBand="0" w:oddHBand="1" w:evenHBand="0" w:firstRowFirstColumn="0" w:firstRowLastColumn="0" w:lastRowFirstColumn="0" w:lastRowLastColumn="0"/>
              <w:rPr>
                <w:rFonts w:cs="Arial"/>
                <w:sz w:val="20"/>
              </w:rPr>
            </w:pPr>
            <w:r w:rsidRPr="00A23B1B">
              <w:rPr>
                <w:rFonts w:cs="Arial"/>
                <w:sz w:val="20"/>
              </w:rPr>
              <w:t>Work is progressing – these are the plans</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hideMark/>
          </w:tcPr>
          <w:p w:rsidR="00A23B1B" w:rsidRPr="00A23B1B" w:rsidRDefault="004E77B4" w:rsidP="00A23B1B">
            <w:pPr>
              <w:rPr>
                <w:rFonts w:cs="Arial"/>
                <w:sz w:val="20"/>
              </w:rPr>
            </w:pPr>
            <w:hyperlink r:id="rId73" w:history="1">
              <w:r w:rsidR="00A23B1B" w:rsidRPr="00A23B1B">
                <w:rPr>
                  <w:rFonts w:cs="Arial"/>
                  <w:color w:val="0000FF" w:themeColor="hyperlink"/>
                  <w:sz w:val="20"/>
                  <w:u w:val="single"/>
                </w:rPr>
                <w:t>Press release</w:t>
              </w:r>
            </w:hyperlink>
            <w:r w:rsidR="00A23B1B" w:rsidRPr="00A23B1B">
              <w:rPr>
                <w:rFonts w:cs="Arial"/>
                <w:sz w:val="20"/>
              </w:rPr>
              <w:t xml:space="preserve"> and media interviews</w:t>
            </w:r>
          </w:p>
          <w:p w:rsidR="00A23B1B" w:rsidRPr="00A23B1B" w:rsidRDefault="00A23B1B" w:rsidP="00A23B1B">
            <w:pPr>
              <w:rPr>
                <w:rFonts w:cs="Arial"/>
                <w:sz w:val="20"/>
              </w:rPr>
            </w:pPr>
            <w:r w:rsidRPr="00A23B1B">
              <w:rPr>
                <w:rFonts w:cs="Arial"/>
                <w:sz w:val="20"/>
              </w:rPr>
              <w:t>Story on website</w:t>
            </w:r>
          </w:p>
          <w:p w:rsidR="00A23B1B" w:rsidRPr="00A23B1B" w:rsidRDefault="00A23B1B" w:rsidP="00A23B1B">
            <w:pPr>
              <w:rPr>
                <w:rFonts w:cs="Arial"/>
                <w:sz w:val="20"/>
              </w:rPr>
            </w:pPr>
            <w:r w:rsidRPr="00A23B1B">
              <w:rPr>
                <w:rFonts w:cs="Arial"/>
                <w:sz w:val="20"/>
              </w:rPr>
              <w:t>Social media.</w:t>
            </w:r>
          </w:p>
          <w:p w:rsidR="00A23B1B" w:rsidRPr="00A23B1B" w:rsidRDefault="00A23B1B" w:rsidP="00A23B1B">
            <w:pPr>
              <w:rPr>
                <w:rFonts w:cs="Arial"/>
                <w:sz w:val="20"/>
              </w:rPr>
            </w:pPr>
            <w:r w:rsidRPr="00A23B1B">
              <w:rPr>
                <w:rFonts w:cs="Arial"/>
                <w:sz w:val="20"/>
              </w:rPr>
              <w:t>Artist’s impression</w:t>
            </w:r>
          </w:p>
          <w:p w:rsidR="00A23B1B" w:rsidRPr="00A23B1B" w:rsidRDefault="00A23B1B" w:rsidP="00A23B1B">
            <w:pPr>
              <w:rPr>
                <w:rFonts w:cs="Arial"/>
                <w:sz w:val="20"/>
              </w:rPr>
            </w:pPr>
            <w:r w:rsidRPr="00A23B1B">
              <w:rPr>
                <w:rFonts w:cs="Arial"/>
                <w:sz w:val="20"/>
              </w:rPr>
              <w:t>Stakeholder message</w:t>
            </w:r>
          </w:p>
        </w:tc>
        <w:tc>
          <w:tcPr>
            <w:tcW w:w="11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100000" w:firstRow="0" w:lastRow="0" w:firstColumn="0" w:lastColumn="0" w:oddVBand="0" w:evenVBand="0" w:oddHBand="1" w:evenHBand="0" w:firstRowFirstColumn="0" w:firstRowLastColumn="0" w:lastRowFirstColumn="0" w:lastRowLastColumn="0"/>
              <w:rPr>
                <w:rFonts w:cs="Arial"/>
                <w:sz w:val="20"/>
              </w:rPr>
            </w:pPr>
            <w:r w:rsidRPr="00A23B1B">
              <w:rPr>
                <w:rFonts w:cs="Arial"/>
                <w:sz w:val="20"/>
              </w:rPr>
              <w:t>From W/C 25/10/21</w:t>
            </w:r>
          </w:p>
        </w:tc>
        <w:tc>
          <w:tcPr>
            <w:cnfStyle w:val="000010000000" w:firstRow="0" w:lastRow="0" w:firstColumn="0" w:lastColumn="0" w:oddVBand="1" w:evenVBand="0" w:oddHBand="0" w:evenHBand="0" w:firstRowFirstColumn="0" w:firstRowLastColumn="0" w:lastRowFirstColumn="0" w:lastRowLastColumn="0"/>
            <w:tcW w:w="9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00B050"/>
            <w:hideMark/>
          </w:tcPr>
          <w:p w:rsidR="00A23B1B" w:rsidRPr="00A23B1B" w:rsidRDefault="00A23B1B" w:rsidP="00A23B1B">
            <w:pPr>
              <w:rPr>
                <w:rFonts w:cs="Arial"/>
                <w:sz w:val="20"/>
              </w:rPr>
            </w:pPr>
            <w:r w:rsidRPr="00A23B1B">
              <w:rPr>
                <w:rFonts w:cs="Arial"/>
                <w:sz w:val="20"/>
              </w:rPr>
              <w:t>Done (social media ongoing)</w:t>
            </w:r>
          </w:p>
        </w:tc>
      </w:tr>
      <w:tr w:rsidR="00A23B1B" w:rsidRPr="00A23B1B" w:rsidTr="00A23B1B">
        <w:tc>
          <w:tcPr>
            <w:cnfStyle w:val="001000000000" w:firstRow="0" w:lastRow="0" w:firstColumn="1" w:lastColumn="0" w:oddVBand="0"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Public/staff</w:t>
            </w:r>
          </w:p>
        </w:tc>
        <w:tc>
          <w:tcPr>
            <w:cnfStyle w:val="000010000000" w:firstRow="0" w:lastRow="0" w:firstColumn="0" w:lastColumn="0" w:oddVBand="1"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Update</w:t>
            </w:r>
          </w:p>
        </w:tc>
        <w:tc>
          <w:tcPr>
            <w:tcW w:w="1322"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000000" w:firstRow="0" w:lastRow="0" w:firstColumn="0" w:lastColumn="0" w:oddVBand="0" w:evenVBand="0" w:oddHBand="0" w:evenHBand="0" w:firstRowFirstColumn="0" w:firstRowLastColumn="0" w:lastRowFirstColumn="0" w:lastRowLastColumn="0"/>
              <w:rPr>
                <w:rFonts w:cs="Arial"/>
                <w:sz w:val="20"/>
              </w:rPr>
            </w:pPr>
            <w:r w:rsidRPr="00A23B1B">
              <w:rPr>
                <w:rFonts w:cs="Arial"/>
                <w:sz w:val="20"/>
              </w:rPr>
              <w:t>Plans have now been submitted for planning permission and are available here – link to council website</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Update story on the website and social media</w:t>
            </w:r>
          </w:p>
        </w:tc>
        <w:tc>
          <w:tcPr>
            <w:tcW w:w="11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000000" w:firstRow="0" w:lastRow="0" w:firstColumn="0" w:lastColumn="0" w:oddVBand="0" w:evenVBand="0" w:oddHBand="0" w:evenHBand="0" w:firstRowFirstColumn="0" w:firstRowLastColumn="0" w:lastRowFirstColumn="0" w:lastRowLastColumn="0"/>
              <w:rPr>
                <w:rFonts w:cs="Arial"/>
                <w:sz w:val="20"/>
              </w:rPr>
            </w:pPr>
            <w:r w:rsidRPr="00A23B1B">
              <w:rPr>
                <w:rFonts w:cs="Arial"/>
                <w:sz w:val="20"/>
              </w:rPr>
              <w:t>Early November 2021 TBC</w:t>
            </w:r>
          </w:p>
        </w:tc>
        <w:tc>
          <w:tcPr>
            <w:cnfStyle w:val="000010000000" w:firstRow="0" w:lastRow="0" w:firstColumn="0" w:lastColumn="0" w:oddVBand="1" w:evenVBand="0" w:oddHBand="0" w:evenHBand="0" w:firstRowFirstColumn="0" w:firstRowLastColumn="0" w:lastRowFirstColumn="0" w:lastRowLastColumn="0"/>
            <w:tcW w:w="9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00B050"/>
            <w:hideMark/>
          </w:tcPr>
          <w:p w:rsidR="00A23B1B" w:rsidRPr="00A23B1B" w:rsidRDefault="00A23B1B" w:rsidP="00A23B1B">
            <w:pPr>
              <w:rPr>
                <w:rFonts w:cs="Arial"/>
                <w:sz w:val="20"/>
              </w:rPr>
            </w:pPr>
            <w:r w:rsidRPr="00A23B1B">
              <w:rPr>
                <w:rFonts w:cs="Arial"/>
                <w:sz w:val="20"/>
              </w:rPr>
              <w:t>Done</w:t>
            </w:r>
          </w:p>
        </w:tc>
      </w:tr>
      <w:tr w:rsidR="00A23B1B" w:rsidRPr="00A23B1B" w:rsidTr="00A23B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Public/Staff</w:t>
            </w:r>
          </w:p>
        </w:tc>
        <w:tc>
          <w:tcPr>
            <w:cnfStyle w:val="000010000000" w:firstRow="0" w:lastRow="0" w:firstColumn="0" w:lastColumn="0" w:oddVBand="1"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Update</w:t>
            </w:r>
          </w:p>
        </w:tc>
        <w:tc>
          <w:tcPr>
            <w:tcW w:w="1322"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100000" w:firstRow="0" w:lastRow="0" w:firstColumn="0" w:lastColumn="0" w:oddVBand="0" w:evenVBand="0" w:oddHBand="1" w:evenHBand="0" w:firstRowFirstColumn="0" w:firstRowLastColumn="0" w:lastRowFirstColumn="0" w:lastRowLastColumn="0"/>
              <w:rPr>
                <w:rFonts w:cs="Arial"/>
                <w:sz w:val="20"/>
              </w:rPr>
            </w:pPr>
            <w:r w:rsidRPr="00A23B1B">
              <w:rPr>
                <w:rFonts w:cs="Arial"/>
                <w:sz w:val="20"/>
              </w:rPr>
              <w:t>Enabling works are needed ahead of our ED build</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hideMark/>
          </w:tcPr>
          <w:p w:rsidR="00A23B1B" w:rsidRPr="00A23B1B" w:rsidRDefault="004E77B4" w:rsidP="00A23B1B">
            <w:pPr>
              <w:rPr>
                <w:rFonts w:cs="Arial"/>
                <w:sz w:val="20"/>
              </w:rPr>
            </w:pPr>
            <w:hyperlink r:id="rId74" w:history="1">
              <w:r w:rsidR="00A23B1B" w:rsidRPr="00A23B1B">
                <w:rPr>
                  <w:rFonts w:cs="Arial"/>
                  <w:color w:val="0000FF" w:themeColor="hyperlink"/>
                  <w:sz w:val="20"/>
                  <w:u w:val="single"/>
                </w:rPr>
                <w:t>Press release</w:t>
              </w:r>
            </w:hyperlink>
            <w:r w:rsidR="00A23B1B" w:rsidRPr="00A23B1B">
              <w:rPr>
                <w:rFonts w:cs="Arial"/>
                <w:sz w:val="20"/>
              </w:rPr>
              <w:t xml:space="preserve"> </w:t>
            </w:r>
          </w:p>
          <w:p w:rsidR="00A23B1B" w:rsidRPr="00A23B1B" w:rsidRDefault="00A23B1B" w:rsidP="00A23B1B">
            <w:pPr>
              <w:rPr>
                <w:rFonts w:cs="Arial"/>
                <w:sz w:val="20"/>
              </w:rPr>
            </w:pPr>
            <w:r w:rsidRPr="00A23B1B">
              <w:rPr>
                <w:rFonts w:cs="Arial"/>
                <w:sz w:val="20"/>
              </w:rPr>
              <w:t>Story on website</w:t>
            </w:r>
          </w:p>
          <w:p w:rsidR="00A23B1B" w:rsidRPr="00A23B1B" w:rsidRDefault="00A23B1B" w:rsidP="00A23B1B">
            <w:pPr>
              <w:rPr>
                <w:rFonts w:cs="Arial"/>
                <w:sz w:val="20"/>
              </w:rPr>
            </w:pPr>
            <w:r w:rsidRPr="00A23B1B">
              <w:rPr>
                <w:rFonts w:cs="Arial"/>
                <w:sz w:val="20"/>
              </w:rPr>
              <w:t>Social media</w:t>
            </w:r>
          </w:p>
          <w:p w:rsidR="00A23B1B" w:rsidRPr="00A23B1B" w:rsidRDefault="00A23B1B" w:rsidP="00A23B1B">
            <w:pPr>
              <w:rPr>
                <w:rFonts w:cs="Arial"/>
                <w:sz w:val="20"/>
              </w:rPr>
            </w:pPr>
            <w:r w:rsidRPr="00A23B1B">
              <w:rPr>
                <w:rFonts w:cs="Arial"/>
                <w:sz w:val="20"/>
              </w:rPr>
              <w:t>ULHT intranet</w:t>
            </w:r>
          </w:p>
          <w:p w:rsidR="00A23B1B" w:rsidRPr="00A23B1B" w:rsidRDefault="00A23B1B" w:rsidP="00A23B1B">
            <w:pPr>
              <w:rPr>
                <w:rFonts w:cs="Arial"/>
                <w:sz w:val="20"/>
              </w:rPr>
            </w:pPr>
            <w:r w:rsidRPr="00A23B1B">
              <w:rPr>
                <w:rFonts w:cs="Arial"/>
                <w:sz w:val="20"/>
              </w:rPr>
              <w:t>Email</w:t>
            </w:r>
          </w:p>
          <w:p w:rsidR="00A23B1B" w:rsidRPr="00A23B1B" w:rsidRDefault="00A23B1B" w:rsidP="00A23B1B">
            <w:pPr>
              <w:rPr>
                <w:rFonts w:cs="Arial"/>
                <w:sz w:val="20"/>
              </w:rPr>
            </w:pPr>
            <w:r w:rsidRPr="00A23B1B">
              <w:rPr>
                <w:rFonts w:cs="Arial"/>
                <w:sz w:val="20"/>
              </w:rPr>
              <w:t>Facebook</w:t>
            </w:r>
          </w:p>
          <w:p w:rsidR="00A23B1B" w:rsidRPr="00A23B1B" w:rsidRDefault="00A23B1B" w:rsidP="00A23B1B">
            <w:pPr>
              <w:rPr>
                <w:rFonts w:cs="Arial"/>
                <w:sz w:val="20"/>
              </w:rPr>
            </w:pPr>
            <w:r w:rsidRPr="00A23B1B">
              <w:rPr>
                <w:rFonts w:cs="Arial"/>
                <w:sz w:val="20"/>
              </w:rPr>
              <w:t>Round up</w:t>
            </w:r>
          </w:p>
          <w:p w:rsidR="00A23B1B" w:rsidRPr="00A23B1B" w:rsidRDefault="00A23B1B" w:rsidP="00A23B1B">
            <w:pPr>
              <w:rPr>
                <w:rFonts w:cs="Arial"/>
                <w:sz w:val="20"/>
              </w:rPr>
            </w:pPr>
            <w:r w:rsidRPr="00A23B1B">
              <w:rPr>
                <w:rFonts w:cs="Arial"/>
                <w:sz w:val="20"/>
              </w:rPr>
              <w:t>Blogs</w:t>
            </w:r>
          </w:p>
          <w:p w:rsidR="00A23B1B" w:rsidRPr="00A23B1B" w:rsidRDefault="00A23B1B" w:rsidP="00A23B1B">
            <w:pPr>
              <w:rPr>
                <w:rFonts w:cs="Arial"/>
                <w:sz w:val="20"/>
              </w:rPr>
            </w:pPr>
            <w:r w:rsidRPr="00A23B1B">
              <w:rPr>
                <w:rFonts w:cs="Arial"/>
                <w:sz w:val="20"/>
              </w:rPr>
              <w:t>Videos/pics</w:t>
            </w:r>
          </w:p>
        </w:tc>
        <w:tc>
          <w:tcPr>
            <w:tcW w:w="11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100000" w:firstRow="0" w:lastRow="0" w:firstColumn="0" w:lastColumn="0" w:oddVBand="0" w:evenVBand="0" w:oddHBand="1" w:evenHBand="0" w:firstRowFirstColumn="0" w:firstRowLastColumn="0" w:lastRowFirstColumn="0" w:lastRowLastColumn="0"/>
              <w:rPr>
                <w:rFonts w:cs="Arial"/>
                <w:sz w:val="20"/>
              </w:rPr>
            </w:pPr>
            <w:r w:rsidRPr="00A23B1B">
              <w:rPr>
                <w:rFonts w:cs="Arial"/>
                <w:sz w:val="20"/>
              </w:rPr>
              <w:t>January 2022</w:t>
            </w:r>
          </w:p>
        </w:tc>
        <w:tc>
          <w:tcPr>
            <w:cnfStyle w:val="000010000000" w:firstRow="0" w:lastRow="0" w:firstColumn="0" w:lastColumn="0" w:oddVBand="1" w:evenVBand="0" w:oddHBand="0" w:evenHBand="0" w:firstRowFirstColumn="0" w:firstRowLastColumn="0" w:lastRowFirstColumn="0" w:lastRowLastColumn="0"/>
            <w:tcW w:w="9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00B050"/>
            <w:hideMark/>
          </w:tcPr>
          <w:p w:rsidR="00A23B1B" w:rsidRPr="00A23B1B" w:rsidRDefault="00A23B1B" w:rsidP="00A23B1B">
            <w:pPr>
              <w:rPr>
                <w:rFonts w:cs="Arial"/>
                <w:sz w:val="20"/>
              </w:rPr>
            </w:pPr>
            <w:r w:rsidRPr="00A23B1B">
              <w:rPr>
                <w:rFonts w:cs="Arial"/>
                <w:sz w:val="20"/>
              </w:rPr>
              <w:t>Done</w:t>
            </w:r>
          </w:p>
        </w:tc>
      </w:tr>
      <w:tr w:rsidR="00A23B1B" w:rsidRPr="00A23B1B" w:rsidTr="00A23B1B">
        <w:tc>
          <w:tcPr>
            <w:cnfStyle w:val="001000000000" w:firstRow="0" w:lastRow="0" w:firstColumn="1" w:lastColumn="0" w:oddVBand="0"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Staff</w:t>
            </w:r>
          </w:p>
        </w:tc>
        <w:tc>
          <w:tcPr>
            <w:cnfStyle w:val="000010000000" w:firstRow="0" w:lastRow="0" w:firstColumn="0" w:lastColumn="0" w:oddVBand="1"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Staff update</w:t>
            </w:r>
          </w:p>
        </w:tc>
        <w:tc>
          <w:tcPr>
            <w:tcW w:w="1322"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000000" w:firstRow="0" w:lastRow="0" w:firstColumn="0" w:lastColumn="0" w:oddVBand="0" w:evenVBand="0" w:oddHBand="0" w:evenHBand="0" w:firstRowFirstColumn="0" w:firstRowLastColumn="0" w:lastRowFirstColumn="0" w:lastRowLastColumn="0"/>
              <w:rPr>
                <w:rFonts w:cs="Arial"/>
                <w:sz w:val="20"/>
              </w:rPr>
            </w:pPr>
            <w:r w:rsidRPr="00A23B1B">
              <w:rPr>
                <w:rFonts w:cs="Arial"/>
                <w:sz w:val="20"/>
              </w:rPr>
              <w:t>Work will/has begun</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ULHT intranet</w:t>
            </w:r>
          </w:p>
          <w:p w:rsidR="00A23B1B" w:rsidRPr="00A23B1B" w:rsidRDefault="00A23B1B" w:rsidP="00A23B1B">
            <w:pPr>
              <w:rPr>
                <w:rFonts w:cs="Arial"/>
                <w:sz w:val="20"/>
              </w:rPr>
            </w:pPr>
            <w:r w:rsidRPr="00A23B1B">
              <w:rPr>
                <w:rFonts w:cs="Arial"/>
                <w:sz w:val="20"/>
              </w:rPr>
              <w:t>Email</w:t>
            </w:r>
          </w:p>
          <w:p w:rsidR="00A23B1B" w:rsidRPr="00A23B1B" w:rsidRDefault="00A23B1B" w:rsidP="00A23B1B">
            <w:pPr>
              <w:rPr>
                <w:rFonts w:cs="Arial"/>
                <w:sz w:val="20"/>
              </w:rPr>
            </w:pPr>
            <w:r w:rsidRPr="00A23B1B">
              <w:rPr>
                <w:rFonts w:cs="Arial"/>
                <w:sz w:val="20"/>
              </w:rPr>
              <w:t>Facebook</w:t>
            </w:r>
          </w:p>
          <w:p w:rsidR="00A23B1B" w:rsidRPr="00A23B1B" w:rsidRDefault="00A23B1B" w:rsidP="00A23B1B">
            <w:pPr>
              <w:rPr>
                <w:rFonts w:cs="Arial"/>
                <w:sz w:val="20"/>
              </w:rPr>
            </w:pPr>
            <w:r w:rsidRPr="00A23B1B">
              <w:rPr>
                <w:rFonts w:cs="Arial"/>
                <w:sz w:val="20"/>
              </w:rPr>
              <w:t>Round up</w:t>
            </w:r>
          </w:p>
          <w:p w:rsidR="00A23B1B" w:rsidRPr="00A23B1B" w:rsidRDefault="00A23B1B" w:rsidP="00A23B1B">
            <w:pPr>
              <w:rPr>
                <w:rFonts w:cs="Arial"/>
                <w:sz w:val="20"/>
              </w:rPr>
            </w:pPr>
            <w:r w:rsidRPr="00A23B1B">
              <w:rPr>
                <w:rFonts w:cs="Arial"/>
                <w:sz w:val="20"/>
              </w:rPr>
              <w:t>Blogs</w:t>
            </w:r>
          </w:p>
          <w:p w:rsidR="00A23B1B" w:rsidRPr="00A23B1B" w:rsidRDefault="00A23B1B" w:rsidP="00A23B1B">
            <w:pPr>
              <w:rPr>
                <w:rFonts w:cs="Arial"/>
                <w:sz w:val="20"/>
              </w:rPr>
            </w:pPr>
            <w:r w:rsidRPr="00A23B1B">
              <w:rPr>
                <w:rFonts w:cs="Arial"/>
                <w:sz w:val="20"/>
              </w:rPr>
              <w:t>Videos/pics</w:t>
            </w:r>
          </w:p>
        </w:tc>
        <w:tc>
          <w:tcPr>
            <w:tcW w:w="11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000000" w:firstRow="0" w:lastRow="0" w:firstColumn="0" w:lastColumn="0" w:oddVBand="0" w:evenVBand="0" w:oddHBand="0" w:evenHBand="0" w:firstRowFirstColumn="0" w:firstRowLastColumn="0" w:lastRowFirstColumn="0" w:lastRowLastColumn="0"/>
              <w:rPr>
                <w:rFonts w:cs="Arial"/>
                <w:sz w:val="20"/>
              </w:rPr>
            </w:pPr>
            <w:r w:rsidRPr="00A23B1B">
              <w:rPr>
                <w:rFonts w:cs="Arial"/>
                <w:sz w:val="20"/>
              </w:rPr>
              <w:t>TBC</w:t>
            </w:r>
          </w:p>
        </w:tc>
        <w:tc>
          <w:tcPr>
            <w:cnfStyle w:val="000010000000" w:firstRow="0" w:lastRow="0" w:firstColumn="0" w:lastColumn="0" w:oddVBand="1" w:evenVBand="0" w:oddHBand="0" w:evenHBand="0" w:firstRowFirstColumn="0" w:firstRowLastColumn="0" w:lastRowFirstColumn="0" w:lastRowLastColumn="0"/>
            <w:tcW w:w="9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tcPr>
          <w:p w:rsidR="00A23B1B" w:rsidRPr="00A23B1B" w:rsidRDefault="00A23B1B" w:rsidP="00A23B1B">
            <w:pPr>
              <w:rPr>
                <w:rFonts w:cs="Arial"/>
                <w:sz w:val="20"/>
              </w:rPr>
            </w:pPr>
          </w:p>
        </w:tc>
      </w:tr>
      <w:tr w:rsidR="00A23B1B" w:rsidRPr="00A23B1B" w:rsidTr="00A23B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Public</w:t>
            </w:r>
          </w:p>
        </w:tc>
        <w:tc>
          <w:tcPr>
            <w:cnfStyle w:val="000010000000" w:firstRow="0" w:lastRow="0" w:firstColumn="0" w:lastColumn="0" w:oddVBand="1"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Press release</w:t>
            </w:r>
          </w:p>
        </w:tc>
        <w:tc>
          <w:tcPr>
            <w:tcW w:w="1322"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100000" w:firstRow="0" w:lastRow="0" w:firstColumn="0" w:lastColumn="0" w:oddVBand="0" w:evenVBand="0" w:oddHBand="1" w:evenHBand="0" w:firstRowFirstColumn="0" w:firstRowLastColumn="0" w:lastRowFirstColumn="0" w:lastRowLastColumn="0"/>
              <w:rPr>
                <w:rFonts w:cs="Arial"/>
                <w:sz w:val="20"/>
              </w:rPr>
            </w:pPr>
            <w:r w:rsidRPr="00A23B1B">
              <w:rPr>
                <w:rFonts w:cs="Arial"/>
                <w:sz w:val="20"/>
              </w:rPr>
              <w:t>Work will/has begun</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Press release – invite media</w:t>
            </w:r>
          </w:p>
          <w:p w:rsidR="00A23B1B" w:rsidRPr="00A23B1B" w:rsidRDefault="00A23B1B" w:rsidP="00A23B1B">
            <w:pPr>
              <w:rPr>
                <w:rFonts w:cs="Arial"/>
                <w:sz w:val="20"/>
              </w:rPr>
            </w:pPr>
            <w:r w:rsidRPr="00A23B1B">
              <w:rPr>
                <w:rFonts w:cs="Arial"/>
                <w:sz w:val="20"/>
              </w:rPr>
              <w:t>Social media</w:t>
            </w:r>
          </w:p>
          <w:p w:rsidR="00A23B1B" w:rsidRPr="00A23B1B" w:rsidRDefault="00A23B1B" w:rsidP="00A23B1B">
            <w:pPr>
              <w:rPr>
                <w:rFonts w:cs="Arial"/>
                <w:sz w:val="20"/>
              </w:rPr>
            </w:pPr>
            <w:r w:rsidRPr="00A23B1B">
              <w:rPr>
                <w:rFonts w:cs="Arial"/>
                <w:sz w:val="20"/>
              </w:rPr>
              <w:t>Videos/pics</w:t>
            </w:r>
          </w:p>
          <w:p w:rsidR="00A23B1B" w:rsidRPr="00A23B1B" w:rsidRDefault="00A23B1B" w:rsidP="00A23B1B">
            <w:pPr>
              <w:rPr>
                <w:rFonts w:cs="Arial"/>
                <w:sz w:val="20"/>
              </w:rPr>
            </w:pPr>
            <w:r w:rsidRPr="00A23B1B">
              <w:rPr>
                <w:rFonts w:cs="Arial"/>
                <w:sz w:val="20"/>
              </w:rPr>
              <w:lastRenderedPageBreak/>
              <w:t>Stakeholder message</w:t>
            </w:r>
          </w:p>
        </w:tc>
        <w:tc>
          <w:tcPr>
            <w:tcW w:w="11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100000" w:firstRow="0" w:lastRow="0" w:firstColumn="0" w:lastColumn="0" w:oddVBand="0" w:evenVBand="0" w:oddHBand="1" w:evenHBand="0" w:firstRowFirstColumn="0" w:firstRowLastColumn="0" w:lastRowFirstColumn="0" w:lastRowLastColumn="0"/>
              <w:rPr>
                <w:rFonts w:cs="Arial"/>
                <w:sz w:val="20"/>
              </w:rPr>
            </w:pPr>
            <w:r w:rsidRPr="00A23B1B">
              <w:rPr>
                <w:rFonts w:cs="Arial"/>
                <w:sz w:val="20"/>
              </w:rPr>
              <w:lastRenderedPageBreak/>
              <w:t>TBC</w:t>
            </w:r>
          </w:p>
        </w:tc>
        <w:tc>
          <w:tcPr>
            <w:cnfStyle w:val="000010000000" w:firstRow="0" w:lastRow="0" w:firstColumn="0" w:lastColumn="0" w:oddVBand="1" w:evenVBand="0" w:oddHBand="0" w:evenHBand="0" w:firstRowFirstColumn="0" w:firstRowLastColumn="0" w:lastRowFirstColumn="0" w:lastRowLastColumn="0"/>
            <w:tcW w:w="9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tcPr>
          <w:p w:rsidR="00A23B1B" w:rsidRPr="00A23B1B" w:rsidRDefault="00A23B1B" w:rsidP="00A23B1B">
            <w:pPr>
              <w:rPr>
                <w:rFonts w:cs="Arial"/>
                <w:sz w:val="20"/>
              </w:rPr>
            </w:pPr>
          </w:p>
        </w:tc>
      </w:tr>
      <w:tr w:rsidR="00A23B1B" w:rsidRPr="00A23B1B" w:rsidTr="00A23B1B">
        <w:tc>
          <w:tcPr>
            <w:cnfStyle w:val="001000000000" w:firstRow="0" w:lastRow="0" w:firstColumn="1" w:lastColumn="0" w:oddVBand="0"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Staff</w:t>
            </w:r>
          </w:p>
        </w:tc>
        <w:tc>
          <w:tcPr>
            <w:cnfStyle w:val="000010000000" w:firstRow="0" w:lastRow="0" w:firstColumn="0" w:lastColumn="0" w:oddVBand="1"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Staff update</w:t>
            </w:r>
          </w:p>
        </w:tc>
        <w:tc>
          <w:tcPr>
            <w:tcW w:w="1322"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000000" w:firstRow="0" w:lastRow="0" w:firstColumn="0" w:lastColumn="0" w:oddVBand="0" w:evenVBand="0" w:oddHBand="0" w:evenHBand="0" w:firstRowFirstColumn="0" w:firstRowLastColumn="0" w:lastRowFirstColumn="0" w:lastRowLastColumn="0"/>
              <w:rPr>
                <w:rFonts w:cs="Arial"/>
                <w:sz w:val="20"/>
              </w:rPr>
            </w:pPr>
            <w:r w:rsidRPr="00A23B1B">
              <w:rPr>
                <w:rFonts w:cs="Arial"/>
                <w:sz w:val="20"/>
              </w:rPr>
              <w:t>Key milestones</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ULHT intranet</w:t>
            </w:r>
          </w:p>
          <w:p w:rsidR="00A23B1B" w:rsidRPr="00A23B1B" w:rsidRDefault="00A23B1B" w:rsidP="00A23B1B">
            <w:pPr>
              <w:rPr>
                <w:rFonts w:cs="Arial"/>
                <w:sz w:val="20"/>
              </w:rPr>
            </w:pPr>
            <w:r w:rsidRPr="00A23B1B">
              <w:rPr>
                <w:rFonts w:cs="Arial"/>
                <w:sz w:val="20"/>
              </w:rPr>
              <w:t>Email</w:t>
            </w:r>
          </w:p>
          <w:p w:rsidR="00A23B1B" w:rsidRPr="00A23B1B" w:rsidRDefault="00A23B1B" w:rsidP="00A23B1B">
            <w:pPr>
              <w:rPr>
                <w:rFonts w:cs="Arial"/>
                <w:sz w:val="20"/>
              </w:rPr>
            </w:pPr>
            <w:r w:rsidRPr="00A23B1B">
              <w:rPr>
                <w:rFonts w:cs="Arial"/>
                <w:sz w:val="20"/>
              </w:rPr>
              <w:t>Facebook</w:t>
            </w:r>
          </w:p>
          <w:p w:rsidR="00A23B1B" w:rsidRPr="00A23B1B" w:rsidRDefault="00A23B1B" w:rsidP="00A23B1B">
            <w:pPr>
              <w:rPr>
                <w:rFonts w:cs="Arial"/>
                <w:sz w:val="20"/>
              </w:rPr>
            </w:pPr>
            <w:r w:rsidRPr="00A23B1B">
              <w:rPr>
                <w:rFonts w:cs="Arial"/>
                <w:sz w:val="20"/>
              </w:rPr>
              <w:t>Round up</w:t>
            </w:r>
          </w:p>
          <w:p w:rsidR="00A23B1B" w:rsidRPr="00A23B1B" w:rsidRDefault="00A23B1B" w:rsidP="00A23B1B">
            <w:pPr>
              <w:rPr>
                <w:rFonts w:cs="Arial"/>
                <w:sz w:val="20"/>
              </w:rPr>
            </w:pPr>
            <w:r w:rsidRPr="00A23B1B">
              <w:rPr>
                <w:rFonts w:cs="Arial"/>
                <w:sz w:val="20"/>
              </w:rPr>
              <w:t>Blogs</w:t>
            </w:r>
          </w:p>
          <w:p w:rsidR="00A23B1B" w:rsidRPr="00A23B1B" w:rsidRDefault="00A23B1B" w:rsidP="00A23B1B">
            <w:pPr>
              <w:rPr>
                <w:rFonts w:cs="Arial"/>
                <w:sz w:val="20"/>
              </w:rPr>
            </w:pPr>
            <w:r w:rsidRPr="00A23B1B">
              <w:rPr>
                <w:rFonts w:cs="Arial"/>
                <w:sz w:val="20"/>
              </w:rPr>
              <w:t>Videos/pics</w:t>
            </w:r>
          </w:p>
        </w:tc>
        <w:tc>
          <w:tcPr>
            <w:tcW w:w="11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000000" w:firstRow="0" w:lastRow="0" w:firstColumn="0" w:lastColumn="0" w:oddVBand="0" w:evenVBand="0" w:oddHBand="0" w:evenHBand="0" w:firstRowFirstColumn="0" w:firstRowLastColumn="0" w:lastRowFirstColumn="0" w:lastRowLastColumn="0"/>
              <w:rPr>
                <w:rFonts w:cs="Arial"/>
                <w:sz w:val="20"/>
              </w:rPr>
            </w:pPr>
            <w:r w:rsidRPr="00A23B1B">
              <w:rPr>
                <w:rFonts w:cs="Arial"/>
                <w:sz w:val="20"/>
              </w:rPr>
              <w:t>TBC as needed</w:t>
            </w:r>
          </w:p>
        </w:tc>
        <w:tc>
          <w:tcPr>
            <w:cnfStyle w:val="000010000000" w:firstRow="0" w:lastRow="0" w:firstColumn="0" w:lastColumn="0" w:oddVBand="1" w:evenVBand="0" w:oddHBand="0" w:evenHBand="0" w:firstRowFirstColumn="0" w:firstRowLastColumn="0" w:lastRowFirstColumn="0" w:lastRowLastColumn="0"/>
            <w:tcW w:w="9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tcPr>
          <w:p w:rsidR="00A23B1B" w:rsidRPr="00A23B1B" w:rsidRDefault="00A23B1B" w:rsidP="00A23B1B">
            <w:pPr>
              <w:rPr>
                <w:rFonts w:cs="Arial"/>
                <w:sz w:val="20"/>
              </w:rPr>
            </w:pPr>
          </w:p>
        </w:tc>
      </w:tr>
      <w:tr w:rsidR="00A23B1B" w:rsidRPr="00A23B1B" w:rsidTr="00A23B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Public</w:t>
            </w:r>
          </w:p>
        </w:tc>
        <w:tc>
          <w:tcPr>
            <w:cnfStyle w:val="000010000000" w:firstRow="0" w:lastRow="0" w:firstColumn="0" w:lastColumn="0" w:oddVBand="1"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Updates</w:t>
            </w:r>
          </w:p>
        </w:tc>
        <w:tc>
          <w:tcPr>
            <w:tcW w:w="1322"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100000" w:firstRow="0" w:lastRow="0" w:firstColumn="0" w:lastColumn="0" w:oddVBand="0" w:evenVBand="0" w:oddHBand="1" w:evenHBand="0" w:firstRowFirstColumn="0" w:firstRowLastColumn="0" w:lastRowFirstColumn="0" w:lastRowLastColumn="0"/>
              <w:rPr>
                <w:rFonts w:cs="Arial"/>
                <w:sz w:val="20"/>
              </w:rPr>
            </w:pPr>
            <w:r w:rsidRPr="00A23B1B">
              <w:rPr>
                <w:rFonts w:cs="Arial"/>
                <w:sz w:val="20"/>
              </w:rPr>
              <w:t>Key milestones</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Social media</w:t>
            </w:r>
          </w:p>
          <w:p w:rsidR="00A23B1B" w:rsidRPr="00A23B1B" w:rsidRDefault="00A23B1B" w:rsidP="00A23B1B">
            <w:pPr>
              <w:rPr>
                <w:rFonts w:cs="Arial"/>
                <w:sz w:val="20"/>
              </w:rPr>
            </w:pPr>
            <w:r w:rsidRPr="00A23B1B">
              <w:rPr>
                <w:rFonts w:cs="Arial"/>
                <w:sz w:val="20"/>
              </w:rPr>
              <w:t>Columns</w:t>
            </w:r>
          </w:p>
          <w:p w:rsidR="00A23B1B" w:rsidRPr="00A23B1B" w:rsidRDefault="00A23B1B" w:rsidP="00A23B1B">
            <w:pPr>
              <w:rPr>
                <w:rFonts w:cs="Arial"/>
                <w:sz w:val="20"/>
              </w:rPr>
            </w:pPr>
            <w:r w:rsidRPr="00A23B1B">
              <w:rPr>
                <w:rFonts w:cs="Arial"/>
                <w:sz w:val="20"/>
              </w:rPr>
              <w:t>Videos/pics</w:t>
            </w:r>
          </w:p>
          <w:p w:rsidR="00A23B1B" w:rsidRPr="00A23B1B" w:rsidRDefault="00A23B1B" w:rsidP="00A23B1B">
            <w:pPr>
              <w:rPr>
                <w:rFonts w:cs="Arial"/>
                <w:sz w:val="20"/>
              </w:rPr>
            </w:pPr>
            <w:r w:rsidRPr="00A23B1B">
              <w:rPr>
                <w:rFonts w:cs="Arial"/>
                <w:sz w:val="20"/>
              </w:rPr>
              <w:t>Stakeholder message?</w:t>
            </w:r>
          </w:p>
        </w:tc>
        <w:tc>
          <w:tcPr>
            <w:tcW w:w="11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100000" w:firstRow="0" w:lastRow="0" w:firstColumn="0" w:lastColumn="0" w:oddVBand="0" w:evenVBand="0" w:oddHBand="1" w:evenHBand="0" w:firstRowFirstColumn="0" w:firstRowLastColumn="0" w:lastRowFirstColumn="0" w:lastRowLastColumn="0"/>
              <w:rPr>
                <w:rFonts w:cs="Arial"/>
                <w:sz w:val="20"/>
              </w:rPr>
            </w:pPr>
            <w:r w:rsidRPr="00A23B1B">
              <w:rPr>
                <w:rFonts w:cs="Arial"/>
                <w:sz w:val="20"/>
              </w:rPr>
              <w:t>TBC as needed</w:t>
            </w:r>
          </w:p>
        </w:tc>
        <w:tc>
          <w:tcPr>
            <w:cnfStyle w:val="000010000000" w:firstRow="0" w:lastRow="0" w:firstColumn="0" w:lastColumn="0" w:oddVBand="1" w:evenVBand="0" w:oddHBand="0" w:evenHBand="0" w:firstRowFirstColumn="0" w:firstRowLastColumn="0" w:lastRowFirstColumn="0" w:lastRowLastColumn="0"/>
            <w:tcW w:w="9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tcPr>
          <w:p w:rsidR="00A23B1B" w:rsidRPr="00A23B1B" w:rsidRDefault="00A23B1B" w:rsidP="00A23B1B">
            <w:pPr>
              <w:rPr>
                <w:rFonts w:cs="Arial"/>
                <w:sz w:val="20"/>
              </w:rPr>
            </w:pPr>
          </w:p>
        </w:tc>
      </w:tr>
      <w:tr w:rsidR="00A23B1B" w:rsidRPr="00A23B1B" w:rsidTr="00A23B1B">
        <w:tc>
          <w:tcPr>
            <w:cnfStyle w:val="001000000000" w:firstRow="0" w:lastRow="0" w:firstColumn="1" w:lastColumn="0" w:oddVBand="0"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Staff</w:t>
            </w:r>
          </w:p>
        </w:tc>
        <w:tc>
          <w:tcPr>
            <w:cnfStyle w:val="000010000000" w:firstRow="0" w:lastRow="0" w:firstColumn="0" w:lastColumn="0" w:oddVBand="1"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Staff update</w:t>
            </w:r>
          </w:p>
        </w:tc>
        <w:tc>
          <w:tcPr>
            <w:tcW w:w="1322"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000000" w:firstRow="0" w:lastRow="0" w:firstColumn="0" w:lastColumn="0" w:oddVBand="0" w:evenVBand="0" w:oddHBand="0" w:evenHBand="0" w:firstRowFirstColumn="0" w:firstRowLastColumn="0" w:lastRowFirstColumn="0" w:lastRowLastColumn="0"/>
              <w:rPr>
                <w:rFonts w:cs="Arial"/>
                <w:sz w:val="20"/>
              </w:rPr>
            </w:pPr>
            <w:r w:rsidRPr="00A23B1B">
              <w:rPr>
                <w:rFonts w:cs="Arial"/>
                <w:sz w:val="20"/>
              </w:rPr>
              <w:t>ED is completed and open</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ULHT intranet</w:t>
            </w:r>
          </w:p>
          <w:p w:rsidR="00A23B1B" w:rsidRPr="00A23B1B" w:rsidRDefault="00A23B1B" w:rsidP="00A23B1B">
            <w:pPr>
              <w:rPr>
                <w:rFonts w:cs="Arial"/>
                <w:sz w:val="20"/>
              </w:rPr>
            </w:pPr>
            <w:r w:rsidRPr="00A23B1B">
              <w:rPr>
                <w:rFonts w:cs="Arial"/>
                <w:sz w:val="20"/>
              </w:rPr>
              <w:t>Email</w:t>
            </w:r>
          </w:p>
          <w:p w:rsidR="00A23B1B" w:rsidRPr="00A23B1B" w:rsidRDefault="00A23B1B" w:rsidP="00A23B1B">
            <w:pPr>
              <w:rPr>
                <w:rFonts w:cs="Arial"/>
                <w:sz w:val="20"/>
              </w:rPr>
            </w:pPr>
            <w:r w:rsidRPr="00A23B1B">
              <w:rPr>
                <w:rFonts w:cs="Arial"/>
                <w:sz w:val="20"/>
              </w:rPr>
              <w:t>Facebook</w:t>
            </w:r>
          </w:p>
          <w:p w:rsidR="00A23B1B" w:rsidRPr="00A23B1B" w:rsidRDefault="00A23B1B" w:rsidP="00A23B1B">
            <w:pPr>
              <w:rPr>
                <w:rFonts w:cs="Arial"/>
                <w:sz w:val="20"/>
              </w:rPr>
            </w:pPr>
            <w:r w:rsidRPr="00A23B1B">
              <w:rPr>
                <w:rFonts w:cs="Arial"/>
                <w:sz w:val="20"/>
              </w:rPr>
              <w:t>Round up</w:t>
            </w:r>
          </w:p>
          <w:p w:rsidR="00A23B1B" w:rsidRPr="00A23B1B" w:rsidRDefault="00A23B1B" w:rsidP="00A23B1B">
            <w:pPr>
              <w:rPr>
                <w:rFonts w:cs="Arial"/>
                <w:sz w:val="20"/>
              </w:rPr>
            </w:pPr>
            <w:r w:rsidRPr="00A23B1B">
              <w:rPr>
                <w:rFonts w:cs="Arial"/>
                <w:sz w:val="20"/>
              </w:rPr>
              <w:t>Blogs</w:t>
            </w:r>
          </w:p>
        </w:tc>
        <w:tc>
          <w:tcPr>
            <w:tcW w:w="11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00000000000" w:firstRow="0" w:lastRow="0" w:firstColumn="0" w:lastColumn="0" w:oddVBand="0" w:evenVBand="0" w:oddHBand="0" w:evenHBand="0" w:firstRowFirstColumn="0" w:firstRowLastColumn="0" w:lastRowFirstColumn="0" w:lastRowLastColumn="0"/>
              <w:rPr>
                <w:rFonts w:cs="Arial"/>
                <w:sz w:val="20"/>
              </w:rPr>
            </w:pPr>
            <w:r w:rsidRPr="00A23B1B">
              <w:rPr>
                <w:rFonts w:cs="Arial"/>
                <w:sz w:val="20"/>
              </w:rPr>
              <w:t>TBC</w:t>
            </w:r>
          </w:p>
        </w:tc>
        <w:tc>
          <w:tcPr>
            <w:cnfStyle w:val="000010000000" w:firstRow="0" w:lastRow="0" w:firstColumn="0" w:lastColumn="0" w:oddVBand="1" w:evenVBand="0" w:oddHBand="0" w:evenHBand="0" w:firstRowFirstColumn="0" w:firstRowLastColumn="0" w:lastRowFirstColumn="0" w:lastRowLastColumn="0"/>
            <w:tcW w:w="9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tcPr>
          <w:p w:rsidR="00A23B1B" w:rsidRPr="00A23B1B" w:rsidRDefault="00A23B1B" w:rsidP="00A23B1B">
            <w:pPr>
              <w:rPr>
                <w:rFonts w:cs="Arial"/>
                <w:sz w:val="20"/>
              </w:rPr>
            </w:pPr>
          </w:p>
        </w:tc>
      </w:tr>
      <w:tr w:rsidR="00A23B1B" w:rsidRPr="00A23B1B" w:rsidTr="00A23B1B">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Public</w:t>
            </w:r>
          </w:p>
        </w:tc>
        <w:tc>
          <w:tcPr>
            <w:cnfStyle w:val="000010000000" w:firstRow="0" w:lastRow="0" w:firstColumn="0" w:lastColumn="0" w:oddVBand="1" w:evenVBand="0" w:oddHBand="0" w:evenHBand="0" w:firstRowFirstColumn="0" w:firstRowLastColumn="0" w:lastRowFirstColumn="0" w:lastRowLastColumn="0"/>
            <w:tcW w:w="1236"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Press release</w:t>
            </w:r>
          </w:p>
        </w:tc>
        <w:tc>
          <w:tcPr>
            <w:tcW w:w="1322"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10000000000" w:firstRow="0" w:lastRow="1" w:firstColumn="0" w:lastColumn="0" w:oddVBand="0" w:evenVBand="0" w:oddHBand="0" w:evenHBand="0" w:firstRowFirstColumn="0" w:firstRowLastColumn="0" w:lastRowFirstColumn="0" w:lastRowLastColumn="0"/>
              <w:rPr>
                <w:rFonts w:cs="Arial"/>
                <w:sz w:val="20"/>
              </w:rPr>
            </w:pPr>
            <w:r w:rsidRPr="00A23B1B">
              <w:rPr>
                <w:rFonts w:cs="Arial"/>
                <w:sz w:val="20"/>
              </w:rPr>
              <w:t>ED is completed and open</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r w:rsidRPr="00A23B1B">
              <w:rPr>
                <w:rFonts w:cs="Arial"/>
                <w:sz w:val="20"/>
              </w:rPr>
              <w:t>Press release – invite media</w:t>
            </w:r>
          </w:p>
          <w:p w:rsidR="00A23B1B" w:rsidRPr="00A23B1B" w:rsidRDefault="00A23B1B" w:rsidP="00A23B1B">
            <w:pPr>
              <w:rPr>
                <w:rFonts w:cs="Arial"/>
                <w:sz w:val="20"/>
              </w:rPr>
            </w:pPr>
            <w:r w:rsidRPr="00A23B1B">
              <w:rPr>
                <w:rFonts w:cs="Arial"/>
                <w:sz w:val="20"/>
              </w:rPr>
              <w:t>Stakeholder message and invitation</w:t>
            </w:r>
          </w:p>
          <w:p w:rsidR="00A23B1B" w:rsidRPr="00A23B1B" w:rsidRDefault="00A23B1B" w:rsidP="00A23B1B">
            <w:pPr>
              <w:rPr>
                <w:rFonts w:cs="Arial"/>
                <w:sz w:val="20"/>
              </w:rPr>
            </w:pPr>
            <w:r w:rsidRPr="00A23B1B">
              <w:rPr>
                <w:rFonts w:cs="Arial"/>
                <w:sz w:val="20"/>
              </w:rPr>
              <w:t>Social media</w:t>
            </w:r>
          </w:p>
          <w:p w:rsidR="00A23B1B" w:rsidRPr="00A23B1B" w:rsidRDefault="00A23B1B" w:rsidP="00A23B1B">
            <w:pPr>
              <w:rPr>
                <w:rFonts w:cs="Arial"/>
                <w:sz w:val="20"/>
              </w:rPr>
            </w:pPr>
            <w:r w:rsidRPr="00A23B1B">
              <w:rPr>
                <w:rFonts w:cs="Arial"/>
                <w:sz w:val="20"/>
              </w:rPr>
              <w:t>Columns</w:t>
            </w:r>
          </w:p>
          <w:p w:rsidR="00A23B1B" w:rsidRPr="00A23B1B" w:rsidRDefault="00A23B1B" w:rsidP="00A23B1B">
            <w:pPr>
              <w:rPr>
                <w:rFonts w:cs="Arial"/>
                <w:sz w:val="20"/>
              </w:rPr>
            </w:pPr>
            <w:r w:rsidRPr="00A23B1B">
              <w:rPr>
                <w:rFonts w:cs="Arial"/>
                <w:sz w:val="20"/>
              </w:rPr>
              <w:t>Videos</w:t>
            </w:r>
          </w:p>
          <w:p w:rsidR="00A23B1B" w:rsidRPr="00A23B1B" w:rsidRDefault="00A23B1B" w:rsidP="00A23B1B">
            <w:pPr>
              <w:rPr>
                <w:rFonts w:cs="Arial"/>
                <w:sz w:val="20"/>
              </w:rPr>
            </w:pPr>
            <w:r w:rsidRPr="00A23B1B">
              <w:rPr>
                <w:rFonts w:cs="Arial"/>
                <w:sz w:val="20"/>
              </w:rPr>
              <w:t>Pictures</w:t>
            </w:r>
          </w:p>
        </w:tc>
        <w:tc>
          <w:tcPr>
            <w:tcW w:w="11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cnfStyle w:val="010000000000" w:firstRow="0" w:lastRow="1" w:firstColumn="0" w:lastColumn="0" w:oddVBand="0" w:evenVBand="0" w:oddHBand="0" w:evenHBand="0" w:firstRowFirstColumn="0" w:firstRowLastColumn="0" w:lastRowFirstColumn="0" w:lastRowLastColumn="0"/>
              <w:rPr>
                <w:rFonts w:cs="Arial"/>
                <w:sz w:val="20"/>
              </w:rPr>
            </w:pPr>
            <w:r w:rsidRPr="00A23B1B">
              <w:rPr>
                <w:rFonts w:cs="Arial"/>
                <w:sz w:val="20"/>
              </w:rPr>
              <w:t>TBC</w:t>
            </w:r>
          </w:p>
        </w:tc>
        <w:tc>
          <w:tcPr>
            <w:cnfStyle w:val="000010000000" w:firstRow="0" w:lastRow="0" w:firstColumn="0" w:lastColumn="0" w:oddVBand="1" w:evenVBand="0" w:oddHBand="0" w:evenHBand="0" w:firstRowFirstColumn="0" w:firstRowLastColumn="0" w:lastRowFirstColumn="0" w:lastRowLastColumn="0"/>
            <w:tcW w:w="963" w:type="dxa"/>
            <w:tcBorders>
              <w:top w:val="single" w:sz="4" w:space="0" w:color="auto"/>
              <w:left w:val="single" w:sz="4" w:space="0" w:color="auto"/>
              <w:bottom w:val="single" w:sz="4" w:space="0" w:color="auto"/>
              <w:right w:val="single" w:sz="4" w:space="0" w:color="auto"/>
            </w:tcBorders>
            <w:hideMark/>
          </w:tcPr>
          <w:p w:rsidR="00A23B1B" w:rsidRPr="00A23B1B" w:rsidRDefault="00A23B1B" w:rsidP="00A23B1B">
            <w:pPr>
              <w:rPr>
                <w:rFonts w:cs="Arial"/>
                <w:sz w:val="20"/>
              </w:rPr>
            </w:pP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tcPr>
          <w:p w:rsidR="00A23B1B" w:rsidRPr="00A23B1B" w:rsidRDefault="00A23B1B" w:rsidP="00A23B1B">
            <w:pPr>
              <w:rPr>
                <w:rFonts w:cs="Arial"/>
                <w:sz w:val="20"/>
              </w:rPr>
            </w:pPr>
          </w:p>
        </w:tc>
      </w:tr>
    </w:tbl>
    <w:p w:rsidR="00A23B1B" w:rsidRPr="00A23B1B" w:rsidRDefault="00A23B1B" w:rsidP="00A23B1B">
      <w:pPr>
        <w:rPr>
          <w:rFonts w:eastAsia="Times New Roman" w:cs="Arial"/>
          <w:szCs w:val="24"/>
          <w:lang w:eastAsia="en-GB"/>
        </w:rPr>
      </w:pPr>
    </w:p>
    <w:p w:rsidR="00A23B1B" w:rsidRPr="00A23B1B" w:rsidRDefault="00A23B1B" w:rsidP="00A23B1B">
      <w:pPr>
        <w:rPr>
          <w:rFonts w:eastAsia="Times New Roman" w:cs="Arial"/>
          <w:szCs w:val="24"/>
          <w:lang w:eastAsia="en-GB"/>
        </w:rPr>
      </w:pPr>
      <w:r w:rsidRPr="00A23B1B">
        <w:rPr>
          <w:rFonts w:eastAsia="Times New Roman" w:cs="Arial"/>
          <w:szCs w:val="24"/>
          <w:lang w:eastAsia="en-GB"/>
        </w:rPr>
        <w:t>See the communications and engagement toolkit for more information. This also includes the pros and cons of corporate channels, different media and engagement techniques.</w:t>
      </w:r>
    </w:p>
    <w:p w:rsidR="00A23B1B" w:rsidRPr="00A23B1B" w:rsidRDefault="00A23B1B" w:rsidP="00A23B1B">
      <w:pPr>
        <w:rPr>
          <w:rFonts w:eastAsia="Times New Roman" w:cs="Arial"/>
          <w:szCs w:val="24"/>
          <w:lang w:eastAsia="en-GB"/>
        </w:rPr>
      </w:pPr>
    </w:p>
    <w:p w:rsidR="00A23B1B" w:rsidRPr="00A23B1B" w:rsidRDefault="004E77B4" w:rsidP="00A23B1B">
      <w:pPr>
        <w:rPr>
          <w:rFonts w:eastAsia="Times New Roman" w:cs="Arial"/>
          <w:szCs w:val="24"/>
          <w:lang w:eastAsia="en-GB"/>
        </w:rPr>
      </w:pPr>
      <w:hyperlink r:id="rId75" w:history="1">
        <w:r w:rsidR="00A23B1B" w:rsidRPr="00A23B1B">
          <w:rPr>
            <w:rFonts w:eastAsia="Times New Roman" w:cs="Arial"/>
            <w:color w:val="0000FF" w:themeColor="hyperlink"/>
            <w:szCs w:val="24"/>
            <w:u w:val="single"/>
            <w:lang w:eastAsia="en-GB"/>
          </w:rPr>
          <w:t>http://ulhintranet/communications-toolkit</w:t>
        </w:r>
      </w:hyperlink>
      <w:r w:rsidR="00A23B1B" w:rsidRPr="00A23B1B">
        <w:rPr>
          <w:rFonts w:eastAsia="Times New Roman" w:cs="Arial"/>
          <w:szCs w:val="24"/>
          <w:lang w:eastAsia="en-GB"/>
        </w:rPr>
        <w:t xml:space="preserve"> </w:t>
      </w:r>
    </w:p>
    <w:p w:rsidR="00A23B1B" w:rsidRPr="00A23B1B" w:rsidRDefault="00A23B1B" w:rsidP="00A23B1B">
      <w:pPr>
        <w:rPr>
          <w:rFonts w:eastAsia="Times New Roman" w:cs="Arial"/>
          <w:szCs w:val="24"/>
          <w:lang w:eastAsia="en-GB"/>
        </w:rPr>
        <w:sectPr w:rsidR="00A23B1B" w:rsidRPr="00A23B1B">
          <w:pgSz w:w="11906" w:h="16838"/>
          <w:pgMar w:top="1134" w:right="1134" w:bottom="1134" w:left="1134" w:header="709" w:footer="709" w:gutter="0"/>
          <w:cols w:space="720"/>
        </w:sectPr>
      </w:pPr>
    </w:p>
    <w:p w:rsidR="00A23B1B" w:rsidRDefault="005D0AC7" w:rsidP="005D0AC7">
      <w:pPr>
        <w:tabs>
          <w:tab w:val="center" w:pos="4680"/>
          <w:tab w:val="right" w:pos="9360"/>
        </w:tabs>
        <w:rPr>
          <w:lang w:eastAsia="en-GB"/>
        </w:rPr>
      </w:pPr>
      <w:r w:rsidRPr="005D0AC7">
        <w:rPr>
          <w:noProof/>
          <w:lang w:eastAsia="en-GB"/>
        </w:rPr>
        <w:lastRenderedPageBreak/>
        <w:drawing>
          <wp:inline distT="0" distB="0" distL="0" distR="0" wp14:anchorId="2FEC8BF6" wp14:editId="5ECC2334">
            <wp:extent cx="8489315" cy="5731510"/>
            <wp:effectExtent l="0" t="0" r="6985" b="254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489315" cy="5731510"/>
                    </a:xfrm>
                    <a:prstGeom prst="rect">
                      <a:avLst/>
                    </a:prstGeom>
                  </pic:spPr>
                </pic:pic>
              </a:graphicData>
            </a:graphic>
          </wp:inline>
        </w:drawing>
      </w:r>
    </w:p>
    <w:p w:rsidR="005D0AC7" w:rsidRDefault="005D0AC7" w:rsidP="005D0AC7">
      <w:pPr>
        <w:tabs>
          <w:tab w:val="center" w:pos="4680"/>
          <w:tab w:val="right" w:pos="9360"/>
        </w:tabs>
        <w:rPr>
          <w:lang w:eastAsia="en-GB"/>
        </w:rPr>
      </w:pPr>
      <w:r w:rsidRPr="005D0AC7">
        <w:rPr>
          <w:noProof/>
          <w:lang w:eastAsia="en-GB"/>
        </w:rPr>
        <w:lastRenderedPageBreak/>
        <w:drawing>
          <wp:inline distT="0" distB="0" distL="0" distR="0" wp14:anchorId="1D9B47AD" wp14:editId="16E24BD6">
            <wp:extent cx="8642350" cy="5731510"/>
            <wp:effectExtent l="0" t="0" r="6350" b="254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8642350" cy="5731510"/>
                    </a:xfrm>
                    <a:prstGeom prst="rect">
                      <a:avLst/>
                    </a:prstGeom>
                  </pic:spPr>
                </pic:pic>
              </a:graphicData>
            </a:graphic>
          </wp:inline>
        </w:drawing>
      </w:r>
    </w:p>
    <w:p w:rsidR="005D0AC7" w:rsidRDefault="005D0AC7" w:rsidP="005D0AC7">
      <w:pPr>
        <w:tabs>
          <w:tab w:val="center" w:pos="4680"/>
          <w:tab w:val="right" w:pos="9360"/>
        </w:tabs>
        <w:rPr>
          <w:lang w:eastAsia="en-GB"/>
        </w:rPr>
        <w:sectPr w:rsidR="005D0AC7" w:rsidSect="005D0AC7">
          <w:pgSz w:w="16838" w:h="11906" w:orient="landscape"/>
          <w:pgMar w:top="1440" w:right="1440" w:bottom="1440" w:left="1440" w:header="709" w:footer="709" w:gutter="0"/>
          <w:cols w:space="708"/>
          <w:docGrid w:linePitch="360"/>
        </w:sectPr>
      </w:pPr>
    </w:p>
    <w:p w:rsidR="001F5319" w:rsidRDefault="001F5319" w:rsidP="001F5319">
      <w:pPr>
        <w:pStyle w:val="Heading1"/>
        <w:rPr>
          <w:rFonts w:eastAsia="Times New Roman"/>
          <w:lang w:eastAsia="en-GB"/>
        </w:rPr>
      </w:pPr>
      <w:bookmarkStart w:id="233" w:name="_Toc105665250"/>
      <w:bookmarkStart w:id="234" w:name="_Toc96973644"/>
      <w:r>
        <w:rPr>
          <w:rFonts w:eastAsia="Times New Roman"/>
          <w:lang w:eastAsia="en-GB"/>
        </w:rPr>
        <w:lastRenderedPageBreak/>
        <w:t>Appendix T:  Sustainable Development Management Plan (SDMP)</w:t>
      </w:r>
      <w:bookmarkEnd w:id="233"/>
    </w:p>
    <w:p w:rsidR="001F5319" w:rsidRDefault="001F5319" w:rsidP="00C77883">
      <w:pPr>
        <w:jc w:val="center"/>
        <w:rPr>
          <w:lang w:eastAsia="en-GB"/>
        </w:rPr>
      </w:pPr>
      <w:r w:rsidRPr="001F5319">
        <w:rPr>
          <w:noProof/>
          <w:lang w:eastAsia="en-GB"/>
        </w:rPr>
        <w:drawing>
          <wp:inline distT="0" distB="0" distL="0" distR="0" wp14:anchorId="1047D64A" wp14:editId="75EF254A">
            <wp:extent cx="4746171" cy="796910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762382" cy="7996328"/>
                    </a:xfrm>
                    <a:prstGeom prst="rect">
                      <a:avLst/>
                    </a:prstGeom>
                  </pic:spPr>
                </pic:pic>
              </a:graphicData>
            </a:graphic>
          </wp:inline>
        </w:drawing>
      </w:r>
    </w:p>
    <w:p w:rsidR="001F5319" w:rsidRDefault="001F5319" w:rsidP="00C77883">
      <w:pPr>
        <w:jc w:val="center"/>
        <w:rPr>
          <w:lang w:eastAsia="en-GB"/>
        </w:rPr>
      </w:pPr>
      <w:r w:rsidRPr="001F5319">
        <w:rPr>
          <w:noProof/>
          <w:lang w:eastAsia="en-GB"/>
        </w:rPr>
        <w:lastRenderedPageBreak/>
        <w:drawing>
          <wp:inline distT="0" distB="0" distL="0" distR="0" wp14:anchorId="7F239FDD" wp14:editId="10E0AA7E">
            <wp:extent cx="5168683" cy="854310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181860" cy="8564889"/>
                    </a:xfrm>
                    <a:prstGeom prst="rect">
                      <a:avLst/>
                    </a:prstGeom>
                  </pic:spPr>
                </pic:pic>
              </a:graphicData>
            </a:graphic>
          </wp:inline>
        </w:drawing>
      </w:r>
    </w:p>
    <w:p w:rsidR="001F5319" w:rsidRDefault="001F5319" w:rsidP="00C77883">
      <w:pPr>
        <w:jc w:val="right"/>
        <w:rPr>
          <w:lang w:eastAsia="en-GB"/>
        </w:rPr>
      </w:pPr>
      <w:r>
        <w:rPr>
          <w:noProof/>
          <w:lang w:eastAsia="en-GB"/>
        </w:rPr>
        <w:lastRenderedPageBreak/>
        <w:drawing>
          <wp:inline distT="0" distB="0" distL="0" distR="0" wp14:anchorId="491CDDA8">
            <wp:extent cx="5493830" cy="863019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02879" cy="8644409"/>
                    </a:xfrm>
                    <a:prstGeom prst="rect">
                      <a:avLst/>
                    </a:prstGeom>
                    <a:noFill/>
                  </pic:spPr>
                </pic:pic>
              </a:graphicData>
            </a:graphic>
          </wp:inline>
        </w:drawing>
      </w:r>
    </w:p>
    <w:p w:rsidR="001F5319" w:rsidRDefault="001F5319" w:rsidP="00C77883">
      <w:pPr>
        <w:jc w:val="center"/>
        <w:rPr>
          <w:lang w:eastAsia="en-GB"/>
        </w:rPr>
      </w:pPr>
      <w:r w:rsidRPr="001F5319">
        <w:rPr>
          <w:noProof/>
          <w:lang w:eastAsia="en-GB"/>
        </w:rPr>
        <w:lastRenderedPageBreak/>
        <w:drawing>
          <wp:inline distT="0" distB="0" distL="0" distR="0" wp14:anchorId="23485150" wp14:editId="24B3FE76">
            <wp:extent cx="5519088" cy="8543109"/>
            <wp:effectExtent l="0" t="0" r="571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527713" cy="8556461"/>
                    </a:xfrm>
                    <a:prstGeom prst="rect">
                      <a:avLst/>
                    </a:prstGeom>
                  </pic:spPr>
                </pic:pic>
              </a:graphicData>
            </a:graphic>
          </wp:inline>
        </w:drawing>
      </w:r>
    </w:p>
    <w:p w:rsidR="001F5319" w:rsidRDefault="001F5319" w:rsidP="00C77883">
      <w:pPr>
        <w:jc w:val="center"/>
        <w:rPr>
          <w:lang w:eastAsia="en-GB"/>
        </w:rPr>
      </w:pPr>
      <w:r>
        <w:rPr>
          <w:noProof/>
          <w:lang w:eastAsia="en-GB"/>
        </w:rPr>
        <w:lastRenderedPageBreak/>
        <w:drawing>
          <wp:inline distT="0" distB="0" distL="0" distR="0" wp14:anchorId="5A763FE1">
            <wp:extent cx="5613200" cy="8638903"/>
            <wp:effectExtent l="0" t="0" r="698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9504" cy="8648606"/>
                    </a:xfrm>
                    <a:prstGeom prst="rect">
                      <a:avLst/>
                    </a:prstGeom>
                    <a:noFill/>
                  </pic:spPr>
                </pic:pic>
              </a:graphicData>
            </a:graphic>
          </wp:inline>
        </w:drawing>
      </w:r>
    </w:p>
    <w:p w:rsidR="001F5319" w:rsidRDefault="001F5319" w:rsidP="00C77883">
      <w:pPr>
        <w:jc w:val="center"/>
        <w:rPr>
          <w:lang w:eastAsia="en-GB"/>
        </w:rPr>
      </w:pPr>
      <w:r w:rsidRPr="001F5319">
        <w:rPr>
          <w:noProof/>
          <w:lang w:eastAsia="en-GB"/>
        </w:rPr>
        <w:lastRenderedPageBreak/>
        <w:drawing>
          <wp:inline distT="0" distB="0" distL="0" distR="0" wp14:anchorId="14351A2D" wp14:editId="4A731802">
            <wp:extent cx="5490136" cy="861277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98977" cy="8626646"/>
                    </a:xfrm>
                    <a:prstGeom prst="rect">
                      <a:avLst/>
                    </a:prstGeom>
                  </pic:spPr>
                </pic:pic>
              </a:graphicData>
            </a:graphic>
          </wp:inline>
        </w:drawing>
      </w:r>
    </w:p>
    <w:p w:rsidR="001F5319" w:rsidRDefault="001F5319" w:rsidP="00C77883">
      <w:pPr>
        <w:jc w:val="center"/>
        <w:rPr>
          <w:lang w:eastAsia="en-GB"/>
        </w:rPr>
      </w:pPr>
      <w:r w:rsidRPr="001F5319">
        <w:rPr>
          <w:noProof/>
          <w:lang w:eastAsia="en-GB"/>
        </w:rPr>
        <w:lastRenderedPageBreak/>
        <w:drawing>
          <wp:inline distT="0" distB="0" distL="0" distR="0" wp14:anchorId="4B251C6A" wp14:editId="0197EEA4">
            <wp:extent cx="5549395" cy="8665029"/>
            <wp:effectExtent l="0" t="0" r="0"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564126" cy="8688031"/>
                    </a:xfrm>
                    <a:prstGeom prst="rect">
                      <a:avLst/>
                    </a:prstGeom>
                  </pic:spPr>
                </pic:pic>
              </a:graphicData>
            </a:graphic>
          </wp:inline>
        </w:drawing>
      </w:r>
    </w:p>
    <w:p w:rsidR="001F5319" w:rsidRDefault="001F5319" w:rsidP="00C77883">
      <w:pPr>
        <w:jc w:val="center"/>
        <w:rPr>
          <w:lang w:eastAsia="en-GB"/>
        </w:rPr>
      </w:pPr>
      <w:r w:rsidRPr="001F5319">
        <w:rPr>
          <w:noProof/>
          <w:lang w:eastAsia="en-GB"/>
        </w:rPr>
        <w:lastRenderedPageBreak/>
        <w:drawing>
          <wp:inline distT="0" distB="0" distL="0" distR="0" wp14:anchorId="4641DCFE" wp14:editId="75C786BA">
            <wp:extent cx="6043437" cy="8647611"/>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055205" cy="8664450"/>
                    </a:xfrm>
                    <a:prstGeom prst="rect">
                      <a:avLst/>
                    </a:prstGeom>
                  </pic:spPr>
                </pic:pic>
              </a:graphicData>
            </a:graphic>
          </wp:inline>
        </w:drawing>
      </w:r>
    </w:p>
    <w:p w:rsidR="001F5319" w:rsidRDefault="001F5319" w:rsidP="00C77883">
      <w:pPr>
        <w:jc w:val="center"/>
        <w:rPr>
          <w:lang w:eastAsia="en-GB"/>
        </w:rPr>
      </w:pPr>
      <w:r w:rsidRPr="001F5319">
        <w:rPr>
          <w:noProof/>
          <w:lang w:eastAsia="en-GB"/>
        </w:rPr>
        <w:lastRenderedPageBreak/>
        <w:drawing>
          <wp:inline distT="0" distB="0" distL="0" distR="0" wp14:anchorId="44E2E75A" wp14:editId="51D5432C">
            <wp:extent cx="5527094" cy="8682446"/>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534634" cy="8694291"/>
                    </a:xfrm>
                    <a:prstGeom prst="rect">
                      <a:avLst/>
                    </a:prstGeom>
                  </pic:spPr>
                </pic:pic>
              </a:graphicData>
            </a:graphic>
          </wp:inline>
        </w:drawing>
      </w:r>
    </w:p>
    <w:p w:rsidR="001F5319" w:rsidRDefault="001F5319" w:rsidP="00C77883">
      <w:pPr>
        <w:jc w:val="center"/>
        <w:rPr>
          <w:lang w:eastAsia="en-GB"/>
        </w:rPr>
      </w:pPr>
      <w:r w:rsidRPr="001F5319">
        <w:rPr>
          <w:noProof/>
          <w:lang w:eastAsia="en-GB"/>
        </w:rPr>
        <w:lastRenderedPageBreak/>
        <w:drawing>
          <wp:inline distT="0" distB="0" distL="0" distR="0" wp14:anchorId="1CE52AD5" wp14:editId="5264C519">
            <wp:extent cx="5699884" cy="867373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06724" cy="8684145"/>
                    </a:xfrm>
                    <a:prstGeom prst="rect">
                      <a:avLst/>
                    </a:prstGeom>
                  </pic:spPr>
                </pic:pic>
              </a:graphicData>
            </a:graphic>
          </wp:inline>
        </w:drawing>
      </w:r>
    </w:p>
    <w:p w:rsidR="001F5319" w:rsidRDefault="001F5319" w:rsidP="00C77883">
      <w:pPr>
        <w:jc w:val="center"/>
        <w:rPr>
          <w:lang w:eastAsia="en-GB"/>
        </w:rPr>
      </w:pPr>
      <w:r w:rsidRPr="001F5319">
        <w:rPr>
          <w:noProof/>
          <w:lang w:eastAsia="en-GB"/>
        </w:rPr>
        <w:lastRenderedPageBreak/>
        <w:drawing>
          <wp:inline distT="0" distB="0" distL="0" distR="0" wp14:anchorId="61F46D12" wp14:editId="6F7005F5">
            <wp:extent cx="5645537" cy="869115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53352" cy="8703184"/>
                    </a:xfrm>
                    <a:prstGeom prst="rect">
                      <a:avLst/>
                    </a:prstGeom>
                  </pic:spPr>
                </pic:pic>
              </a:graphicData>
            </a:graphic>
          </wp:inline>
        </w:drawing>
      </w:r>
    </w:p>
    <w:p w:rsidR="001F5319" w:rsidRDefault="001F5319" w:rsidP="00C77883">
      <w:pPr>
        <w:jc w:val="center"/>
        <w:rPr>
          <w:lang w:eastAsia="en-GB"/>
        </w:rPr>
      </w:pPr>
      <w:r w:rsidRPr="001F5319">
        <w:rPr>
          <w:noProof/>
          <w:lang w:eastAsia="en-GB"/>
        </w:rPr>
        <w:lastRenderedPageBreak/>
        <w:drawing>
          <wp:inline distT="0" distB="0" distL="0" distR="0" wp14:anchorId="1BDB3B65" wp14:editId="572B1732">
            <wp:extent cx="5575972" cy="8673737"/>
            <wp:effectExtent l="0" t="0" r="571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587139" cy="8691109"/>
                    </a:xfrm>
                    <a:prstGeom prst="rect">
                      <a:avLst/>
                    </a:prstGeom>
                  </pic:spPr>
                </pic:pic>
              </a:graphicData>
            </a:graphic>
          </wp:inline>
        </w:drawing>
      </w:r>
    </w:p>
    <w:p w:rsidR="001F5319" w:rsidRDefault="001F5319" w:rsidP="00C77883">
      <w:pPr>
        <w:jc w:val="center"/>
        <w:rPr>
          <w:lang w:eastAsia="en-GB"/>
        </w:rPr>
      </w:pPr>
      <w:r w:rsidRPr="001F5319">
        <w:rPr>
          <w:noProof/>
          <w:lang w:eastAsia="en-GB"/>
        </w:rPr>
        <w:lastRenderedPageBreak/>
        <w:drawing>
          <wp:inline distT="0" distB="0" distL="0" distR="0" wp14:anchorId="04DC5FC4" wp14:editId="1D3F1AA2">
            <wp:extent cx="5434461" cy="8647611"/>
            <wp:effectExtent l="0" t="0" r="0" b="127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44636" cy="8663802"/>
                    </a:xfrm>
                    <a:prstGeom prst="rect">
                      <a:avLst/>
                    </a:prstGeom>
                  </pic:spPr>
                </pic:pic>
              </a:graphicData>
            </a:graphic>
          </wp:inline>
        </w:drawing>
      </w:r>
    </w:p>
    <w:p w:rsidR="001F5319" w:rsidRDefault="001F5319" w:rsidP="00C77883">
      <w:pPr>
        <w:jc w:val="center"/>
        <w:rPr>
          <w:lang w:eastAsia="en-GB"/>
        </w:rPr>
      </w:pPr>
      <w:r w:rsidRPr="001F5319">
        <w:rPr>
          <w:noProof/>
          <w:lang w:eastAsia="en-GB"/>
        </w:rPr>
        <w:lastRenderedPageBreak/>
        <w:drawing>
          <wp:inline distT="0" distB="0" distL="0" distR="0" wp14:anchorId="45C10C1A" wp14:editId="29C7BEC6">
            <wp:extent cx="5620558" cy="8665029"/>
            <wp:effectExtent l="0" t="0" r="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631429" cy="8681788"/>
                    </a:xfrm>
                    <a:prstGeom prst="rect">
                      <a:avLst/>
                    </a:prstGeom>
                  </pic:spPr>
                </pic:pic>
              </a:graphicData>
            </a:graphic>
          </wp:inline>
        </w:drawing>
      </w:r>
    </w:p>
    <w:p w:rsidR="00F3157B" w:rsidRDefault="001F5319" w:rsidP="00C77883">
      <w:pPr>
        <w:jc w:val="center"/>
        <w:rPr>
          <w:lang w:eastAsia="en-GB"/>
        </w:rPr>
      </w:pPr>
      <w:r w:rsidRPr="001F5319">
        <w:rPr>
          <w:noProof/>
          <w:lang w:eastAsia="en-GB"/>
        </w:rPr>
        <w:lastRenderedPageBreak/>
        <w:drawing>
          <wp:inline distT="0" distB="0" distL="0" distR="0" wp14:anchorId="78A04247" wp14:editId="393E54BF">
            <wp:extent cx="5172594" cy="8673737"/>
            <wp:effectExtent l="0" t="0" r="952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83241" cy="8691591"/>
                    </a:xfrm>
                    <a:prstGeom prst="rect">
                      <a:avLst/>
                    </a:prstGeom>
                  </pic:spPr>
                </pic:pic>
              </a:graphicData>
            </a:graphic>
          </wp:inline>
        </w:drawing>
      </w:r>
    </w:p>
    <w:p w:rsidR="002A2910" w:rsidRDefault="00F3157B" w:rsidP="00F3157B">
      <w:pPr>
        <w:pStyle w:val="Heading1"/>
        <w:rPr>
          <w:lang w:eastAsia="en-GB"/>
        </w:rPr>
      </w:pPr>
      <w:bookmarkStart w:id="235" w:name="_Toc105665251"/>
      <w:r>
        <w:rPr>
          <w:lang w:eastAsia="en-GB"/>
        </w:rPr>
        <w:lastRenderedPageBreak/>
        <w:t>Appendix U</w:t>
      </w:r>
      <w:r w:rsidR="002A2910">
        <w:rPr>
          <w:lang w:eastAsia="en-GB"/>
        </w:rPr>
        <w:t>:  Project Team Meetings Terms of Reference</w:t>
      </w:r>
      <w:bookmarkEnd w:id="235"/>
    </w:p>
    <w:p w:rsidR="002A2910" w:rsidRDefault="002A2910" w:rsidP="002A2910">
      <w:pPr>
        <w:rPr>
          <w:lang w:eastAsia="en-GB"/>
        </w:rPr>
      </w:pPr>
    </w:p>
    <w:p w:rsidR="002A2910" w:rsidRPr="002A2910" w:rsidRDefault="002A2910" w:rsidP="002A2910">
      <w:pPr>
        <w:autoSpaceDE w:val="0"/>
        <w:autoSpaceDN w:val="0"/>
        <w:adjustRightInd w:val="0"/>
        <w:jc w:val="center"/>
        <w:rPr>
          <w:rFonts w:ascii="Calibri" w:eastAsia="Times New Roman" w:hAnsi="Calibri" w:cs="Calibri"/>
          <w:b/>
          <w:bCs/>
          <w:color w:val="000000"/>
          <w:sz w:val="28"/>
          <w:szCs w:val="28"/>
          <w:lang w:eastAsia="en-GB"/>
        </w:rPr>
      </w:pPr>
    </w:p>
    <w:p w:rsidR="002A2910" w:rsidRPr="002A2910" w:rsidRDefault="002A2910" w:rsidP="002A2910">
      <w:pPr>
        <w:autoSpaceDE w:val="0"/>
        <w:autoSpaceDN w:val="0"/>
        <w:adjustRightInd w:val="0"/>
        <w:jc w:val="center"/>
        <w:rPr>
          <w:rFonts w:ascii="Calibri" w:eastAsia="Times New Roman" w:hAnsi="Calibri" w:cs="Calibri"/>
          <w:color w:val="000000"/>
          <w:sz w:val="28"/>
          <w:szCs w:val="28"/>
          <w:lang w:eastAsia="en-GB"/>
        </w:rPr>
      </w:pPr>
      <w:r w:rsidRPr="002A2910">
        <w:rPr>
          <w:rFonts w:ascii="Calibri" w:eastAsia="Times New Roman" w:hAnsi="Calibri" w:cs="Calibri"/>
          <w:b/>
          <w:bCs/>
          <w:color w:val="000000"/>
          <w:sz w:val="28"/>
          <w:szCs w:val="28"/>
          <w:lang w:eastAsia="en-GB"/>
        </w:rPr>
        <w:t>Pilgrim Hospital Urgent Care Project</w:t>
      </w:r>
    </w:p>
    <w:p w:rsidR="002A2910" w:rsidRPr="002A2910" w:rsidRDefault="002A2910" w:rsidP="002A2910">
      <w:pPr>
        <w:autoSpaceDE w:val="0"/>
        <w:autoSpaceDN w:val="0"/>
        <w:adjustRightInd w:val="0"/>
        <w:rPr>
          <w:rFonts w:ascii="Calibri" w:eastAsia="Times New Roman" w:hAnsi="Calibri" w:cs="Calibri"/>
          <w:b/>
          <w:bCs/>
          <w:color w:val="000000"/>
          <w:sz w:val="23"/>
          <w:szCs w:val="23"/>
          <w:lang w:eastAsia="en-GB"/>
        </w:rPr>
      </w:pPr>
    </w:p>
    <w:p w:rsidR="002A2910" w:rsidRPr="002A2910" w:rsidRDefault="002A2910" w:rsidP="002A2910">
      <w:pPr>
        <w:autoSpaceDE w:val="0"/>
        <w:autoSpaceDN w:val="0"/>
        <w:adjustRightInd w:val="0"/>
        <w:jc w:val="center"/>
        <w:rPr>
          <w:rFonts w:ascii="Calibri" w:eastAsia="Times New Roman" w:hAnsi="Calibri" w:cs="Calibri"/>
          <w:b/>
          <w:bCs/>
          <w:color w:val="000000"/>
          <w:sz w:val="23"/>
          <w:szCs w:val="23"/>
          <w:lang w:eastAsia="en-GB"/>
        </w:rPr>
      </w:pPr>
      <w:r w:rsidRPr="002A2910">
        <w:rPr>
          <w:rFonts w:ascii="Calibri" w:eastAsia="Times New Roman" w:hAnsi="Calibri" w:cs="Calibri"/>
          <w:b/>
          <w:bCs/>
          <w:color w:val="000000"/>
          <w:sz w:val="23"/>
          <w:szCs w:val="23"/>
          <w:lang w:eastAsia="en-GB"/>
        </w:rPr>
        <w:t>Terms of Reference</w:t>
      </w:r>
    </w:p>
    <w:p w:rsidR="002A2910" w:rsidRPr="002A2910" w:rsidRDefault="002A2910" w:rsidP="002A2910">
      <w:pPr>
        <w:autoSpaceDE w:val="0"/>
        <w:autoSpaceDN w:val="0"/>
        <w:adjustRightInd w:val="0"/>
        <w:jc w:val="center"/>
        <w:rPr>
          <w:rFonts w:ascii="Calibri" w:eastAsia="Times New Roman" w:hAnsi="Calibri" w:cs="Calibri"/>
          <w:b/>
          <w:bCs/>
          <w:color w:val="000000"/>
          <w:sz w:val="23"/>
          <w:szCs w:val="23"/>
          <w:lang w:eastAsia="en-GB"/>
        </w:rPr>
      </w:pPr>
    </w:p>
    <w:p w:rsidR="002A2910" w:rsidRPr="002A2910" w:rsidRDefault="002A2910" w:rsidP="002A2910">
      <w:pPr>
        <w:autoSpaceDE w:val="0"/>
        <w:autoSpaceDN w:val="0"/>
        <w:adjustRightInd w:val="0"/>
        <w:jc w:val="center"/>
        <w:rPr>
          <w:rFonts w:ascii="Calibri" w:eastAsia="Times New Roman" w:hAnsi="Calibri" w:cs="Calibri"/>
          <w:color w:val="000000"/>
          <w:sz w:val="23"/>
          <w:szCs w:val="23"/>
          <w:lang w:eastAsia="en-GB"/>
        </w:rPr>
      </w:pP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r w:rsidRPr="002A2910">
        <w:rPr>
          <w:rFonts w:ascii="Calibri" w:eastAsia="Times New Roman" w:hAnsi="Calibri" w:cs="Calibri"/>
          <w:b/>
          <w:bCs/>
          <w:color w:val="000000"/>
          <w:sz w:val="22"/>
          <w:lang w:eastAsia="en-GB"/>
        </w:rPr>
        <w:t xml:space="preserve">1. </w:t>
      </w:r>
      <w:r w:rsidRPr="002A2910">
        <w:rPr>
          <w:rFonts w:ascii="Calibri" w:eastAsia="Times New Roman" w:hAnsi="Calibri" w:cs="Calibri"/>
          <w:b/>
          <w:bCs/>
          <w:color w:val="000000"/>
          <w:sz w:val="23"/>
          <w:szCs w:val="23"/>
          <w:lang w:eastAsia="en-GB"/>
        </w:rPr>
        <w:t xml:space="preserve">Strategic Statement </w:t>
      </w: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r w:rsidRPr="002A2910">
        <w:rPr>
          <w:rFonts w:ascii="Calibri" w:eastAsia="Times New Roman" w:hAnsi="Calibri" w:cs="Calibri"/>
          <w:color w:val="000000"/>
          <w:sz w:val="23"/>
          <w:szCs w:val="23"/>
          <w:lang w:eastAsia="en-GB"/>
        </w:rPr>
        <w:t xml:space="preserve">The Pilgrim Hospital Urgent Care Project </w:t>
      </w:r>
      <w:proofErr w:type="spellStart"/>
      <w:r w:rsidRPr="002A2910">
        <w:rPr>
          <w:rFonts w:ascii="Calibri" w:eastAsia="Times New Roman" w:hAnsi="Calibri" w:cs="Calibri"/>
          <w:color w:val="000000"/>
          <w:sz w:val="23"/>
          <w:szCs w:val="23"/>
          <w:lang w:eastAsia="en-GB"/>
        </w:rPr>
        <w:t>Project</w:t>
      </w:r>
      <w:proofErr w:type="spellEnd"/>
      <w:r w:rsidRPr="002A2910">
        <w:rPr>
          <w:rFonts w:ascii="Calibri" w:eastAsia="Times New Roman" w:hAnsi="Calibri" w:cs="Calibri"/>
          <w:color w:val="000000"/>
          <w:sz w:val="23"/>
          <w:szCs w:val="23"/>
          <w:lang w:eastAsia="en-GB"/>
        </w:rPr>
        <w:t xml:space="preserve"> is established to manage developments to the Resuscitation Department (</w:t>
      </w:r>
      <w:proofErr w:type="spellStart"/>
      <w:r w:rsidRPr="002A2910">
        <w:rPr>
          <w:rFonts w:ascii="Calibri" w:eastAsia="Times New Roman" w:hAnsi="Calibri" w:cs="Calibri"/>
          <w:color w:val="000000"/>
          <w:sz w:val="23"/>
          <w:szCs w:val="23"/>
          <w:lang w:eastAsia="en-GB"/>
        </w:rPr>
        <w:t>Resus</w:t>
      </w:r>
      <w:proofErr w:type="spellEnd"/>
      <w:r w:rsidRPr="002A2910">
        <w:rPr>
          <w:rFonts w:ascii="Calibri" w:eastAsia="Times New Roman" w:hAnsi="Calibri" w:cs="Calibri"/>
          <w:color w:val="000000"/>
          <w:sz w:val="23"/>
          <w:szCs w:val="23"/>
          <w:lang w:eastAsia="en-GB"/>
        </w:rPr>
        <w:t>) and the building of an Urgent Treatment Centre (UTC) as part of the funding for 20 health organisations to receive a share of £850M announced by the Prime Minister on 5</w:t>
      </w:r>
      <w:r w:rsidRPr="002A2910">
        <w:rPr>
          <w:rFonts w:ascii="Calibri" w:eastAsia="Times New Roman" w:hAnsi="Calibri" w:cs="Calibri"/>
          <w:color w:val="000000"/>
          <w:sz w:val="23"/>
          <w:szCs w:val="23"/>
          <w:vertAlign w:val="superscript"/>
          <w:lang w:eastAsia="en-GB"/>
        </w:rPr>
        <w:t>th</w:t>
      </w:r>
      <w:r w:rsidRPr="002A2910">
        <w:rPr>
          <w:rFonts w:ascii="Calibri" w:eastAsia="Times New Roman" w:hAnsi="Calibri" w:cs="Calibri"/>
          <w:color w:val="000000"/>
          <w:sz w:val="23"/>
          <w:szCs w:val="23"/>
          <w:lang w:eastAsia="en-GB"/>
        </w:rPr>
        <w:t xml:space="preserve"> August 2019.  The work for this project was costed at £21.3M.</w:t>
      </w: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r w:rsidRPr="002A2910">
        <w:rPr>
          <w:rFonts w:ascii="Calibri" w:eastAsia="Times New Roman" w:hAnsi="Calibri" w:cs="Calibri"/>
          <w:color w:val="000000"/>
          <w:sz w:val="23"/>
          <w:szCs w:val="23"/>
          <w:lang w:eastAsia="en-GB"/>
        </w:rPr>
        <w:t xml:space="preserve">The project will oversee the development of the SOC through to FBC, establish a clear governance framework for the schemes, develop the design brief to go out to tender for contractors and oversee the project to completion. </w:t>
      </w: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p>
    <w:p w:rsidR="002A2910" w:rsidRPr="002A2910" w:rsidRDefault="002A2910" w:rsidP="002A2910">
      <w:pPr>
        <w:autoSpaceDE w:val="0"/>
        <w:autoSpaceDN w:val="0"/>
        <w:adjustRightInd w:val="0"/>
        <w:jc w:val="both"/>
        <w:rPr>
          <w:rFonts w:ascii="Calibri" w:eastAsia="Times New Roman" w:hAnsi="Calibri" w:cs="Calibri"/>
          <w:b/>
          <w:bCs/>
          <w:color w:val="000000"/>
          <w:sz w:val="23"/>
          <w:szCs w:val="23"/>
          <w:lang w:eastAsia="en-GB"/>
        </w:rPr>
      </w:pPr>
      <w:r w:rsidRPr="002A2910">
        <w:rPr>
          <w:rFonts w:ascii="Calibri" w:eastAsia="Times New Roman" w:hAnsi="Calibri" w:cs="Calibri"/>
          <w:b/>
          <w:bCs/>
          <w:color w:val="000000"/>
          <w:sz w:val="23"/>
          <w:szCs w:val="23"/>
          <w:lang w:eastAsia="en-GB"/>
        </w:rPr>
        <w:t xml:space="preserve">2. Constitution </w:t>
      </w: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r w:rsidRPr="002A2910">
        <w:rPr>
          <w:rFonts w:ascii="Calibri" w:eastAsia="Times New Roman" w:hAnsi="Calibri" w:cs="Calibri"/>
          <w:color w:val="000000"/>
          <w:sz w:val="23"/>
          <w:szCs w:val="23"/>
          <w:lang w:eastAsia="en-GB"/>
        </w:rPr>
        <w:t>The Pilgrim Hospital Urgent Care Project will be managed under two groups.  Assurance that the project is being delivered will be undertaken by a Project Oversight Group (POG), chaired by the Chief Operating Officer, which is formed under resolution of the Trust Board of United Lincolnshire Hospitals NHS Trust.  This group will have financial decision making powers, delegated from the Trust Board, to appoint advisors and contractors to facilitate development of the business cases, design and construction.  However, business cases will go to the Trusts Capital and Revenue Investment Group.  System assurance will be via the Urgent Care Delivery Board.</w:t>
      </w: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r w:rsidRPr="002A2910">
        <w:rPr>
          <w:rFonts w:ascii="Calibri" w:eastAsia="Times New Roman" w:hAnsi="Calibri" w:cs="Calibri"/>
          <w:color w:val="000000"/>
          <w:sz w:val="23"/>
          <w:szCs w:val="23"/>
          <w:lang w:eastAsia="en-GB"/>
        </w:rPr>
        <w:t xml:space="preserve">Under resolution of the Project Oversight Group a Project Working Group (PWG) will be established.  This group will be a mix of management, facilities and clinical teams that will develop the FBC for the project.  The group will test any assumptions in the business cases and work to ensure robust planning that represent best value for money throughout the project.  This group will also consider staffing models for the new unit ensuring the integration of services between agencies.  The Chair of PWG will ensure input of content is considered, discussed and shared appropriately to members of both POG and PWG.  </w:t>
      </w: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r w:rsidRPr="002A2910">
        <w:rPr>
          <w:rFonts w:ascii="Calibri" w:eastAsia="Times New Roman" w:hAnsi="Calibri" w:cs="Calibri"/>
          <w:color w:val="000000"/>
          <w:sz w:val="23"/>
          <w:szCs w:val="23"/>
          <w:lang w:eastAsia="en-GB"/>
        </w:rPr>
        <w:t>The meeting and reporting structure for the project is given in the appendix.</w:t>
      </w: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p>
    <w:p w:rsidR="002A2910" w:rsidRPr="002A2910" w:rsidRDefault="002A2910" w:rsidP="002A2910">
      <w:pPr>
        <w:autoSpaceDE w:val="0"/>
        <w:autoSpaceDN w:val="0"/>
        <w:adjustRightInd w:val="0"/>
        <w:jc w:val="both"/>
        <w:rPr>
          <w:rFonts w:ascii="Calibri" w:eastAsia="Times New Roman" w:hAnsi="Calibri" w:cs="Calibri"/>
          <w:b/>
          <w:bCs/>
          <w:color w:val="000000"/>
          <w:sz w:val="23"/>
          <w:szCs w:val="23"/>
          <w:lang w:eastAsia="en-GB"/>
        </w:rPr>
      </w:pPr>
      <w:r w:rsidRPr="002A2910">
        <w:rPr>
          <w:rFonts w:ascii="Calibri" w:eastAsia="Times New Roman" w:hAnsi="Calibri" w:cs="Calibri"/>
          <w:b/>
          <w:bCs/>
          <w:color w:val="000000"/>
          <w:sz w:val="23"/>
          <w:szCs w:val="23"/>
          <w:lang w:eastAsia="en-GB"/>
        </w:rPr>
        <w:t xml:space="preserve">3. Membership </w:t>
      </w: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r w:rsidRPr="002A2910">
        <w:rPr>
          <w:rFonts w:ascii="Calibri" w:eastAsia="Times New Roman" w:hAnsi="Calibri" w:cs="Calibri"/>
          <w:color w:val="000000"/>
          <w:sz w:val="23"/>
          <w:szCs w:val="23"/>
          <w:lang w:eastAsia="en-GB"/>
        </w:rPr>
        <w:t>The POG and PWG will be comprised of all relevant parties within the Health and Care System within Lincolnshire who provide Urgent Care Services.  Meetings will take place fortnightly, alternating weeks.  Arrangements will be reviewed throughout the project and membership extended as required.</w:t>
      </w: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r w:rsidRPr="002A2910">
        <w:rPr>
          <w:rFonts w:ascii="Calibri" w:eastAsia="Times New Roman" w:hAnsi="Calibri" w:cs="Calibri"/>
          <w:color w:val="000000"/>
          <w:sz w:val="23"/>
          <w:szCs w:val="23"/>
          <w:lang w:eastAsia="en-GB"/>
        </w:rPr>
        <w:t>Membership will include:</w:t>
      </w: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p>
    <w:tbl>
      <w:tblPr>
        <w:tblStyle w:val="TableGrid3"/>
        <w:tblW w:w="0" w:type="auto"/>
        <w:tblLook w:val="04A0" w:firstRow="1" w:lastRow="0" w:firstColumn="1" w:lastColumn="0" w:noHBand="0" w:noVBand="1"/>
      </w:tblPr>
      <w:tblGrid>
        <w:gridCol w:w="4503"/>
        <w:gridCol w:w="4513"/>
      </w:tblGrid>
      <w:tr w:rsidR="002A2910" w:rsidRPr="002A2910" w:rsidTr="00097DA7">
        <w:trPr>
          <w:trHeight w:val="290"/>
        </w:trPr>
        <w:tc>
          <w:tcPr>
            <w:tcW w:w="8340" w:type="dxa"/>
            <w:noWrap/>
            <w:hideMark/>
          </w:tcPr>
          <w:p w:rsidR="002A2910" w:rsidRPr="002A2910" w:rsidRDefault="002A2910" w:rsidP="002A2910">
            <w:pPr>
              <w:autoSpaceDE w:val="0"/>
              <w:autoSpaceDN w:val="0"/>
              <w:adjustRightInd w:val="0"/>
              <w:jc w:val="both"/>
              <w:rPr>
                <w:rFonts w:asciiTheme="minorHAnsi" w:hAnsiTheme="minorHAnsi" w:cstheme="minorHAnsi"/>
                <w:b/>
                <w:bCs/>
                <w:color w:val="000000"/>
                <w:sz w:val="20"/>
              </w:rPr>
            </w:pPr>
            <w:r w:rsidRPr="002A2910">
              <w:rPr>
                <w:rFonts w:asciiTheme="minorHAnsi" w:hAnsiTheme="minorHAnsi" w:cstheme="minorHAnsi"/>
                <w:b/>
                <w:bCs/>
                <w:color w:val="000000"/>
                <w:sz w:val="20"/>
              </w:rPr>
              <w:t>Project Oversight Group - Meets Fortnightly on Tuesdays</w:t>
            </w:r>
          </w:p>
        </w:tc>
        <w:tc>
          <w:tcPr>
            <w:tcW w:w="8360" w:type="dxa"/>
            <w:noWrap/>
            <w:hideMark/>
          </w:tcPr>
          <w:p w:rsidR="002A2910" w:rsidRPr="002A2910" w:rsidRDefault="002A2910" w:rsidP="002A2910">
            <w:pPr>
              <w:autoSpaceDE w:val="0"/>
              <w:autoSpaceDN w:val="0"/>
              <w:adjustRightInd w:val="0"/>
              <w:jc w:val="both"/>
              <w:rPr>
                <w:rFonts w:asciiTheme="minorHAnsi" w:hAnsiTheme="minorHAnsi" w:cstheme="minorHAnsi"/>
                <w:b/>
                <w:bCs/>
                <w:color w:val="000000"/>
                <w:sz w:val="20"/>
              </w:rPr>
            </w:pPr>
            <w:r w:rsidRPr="002A2910">
              <w:rPr>
                <w:rFonts w:asciiTheme="minorHAnsi" w:hAnsiTheme="minorHAnsi" w:cstheme="minorHAnsi"/>
                <w:b/>
                <w:bCs/>
                <w:color w:val="000000"/>
                <w:sz w:val="20"/>
              </w:rPr>
              <w:t>Project Working Group - Meets Fortnightly on Wednesdays</w:t>
            </w:r>
          </w:p>
        </w:tc>
      </w:tr>
      <w:tr w:rsidR="002A2910" w:rsidRPr="002A2910" w:rsidTr="00097DA7">
        <w:trPr>
          <w:trHeight w:val="290"/>
        </w:trPr>
        <w:tc>
          <w:tcPr>
            <w:tcW w:w="8340" w:type="dxa"/>
            <w:noWrap/>
            <w:hideMark/>
          </w:tcPr>
          <w:p w:rsidR="002A2910" w:rsidRPr="002A2910" w:rsidRDefault="002A2910" w:rsidP="002A2910">
            <w:pPr>
              <w:autoSpaceDE w:val="0"/>
              <w:autoSpaceDN w:val="0"/>
              <w:adjustRightInd w:val="0"/>
              <w:jc w:val="both"/>
              <w:rPr>
                <w:rFonts w:asciiTheme="minorHAnsi" w:hAnsiTheme="minorHAnsi" w:cstheme="minorHAnsi"/>
                <w:color w:val="000000"/>
                <w:sz w:val="20"/>
              </w:rPr>
            </w:pPr>
          </w:p>
        </w:tc>
        <w:tc>
          <w:tcPr>
            <w:tcW w:w="8360" w:type="dxa"/>
            <w:noWrap/>
            <w:hideMark/>
          </w:tcPr>
          <w:p w:rsidR="002A2910" w:rsidRPr="002A2910" w:rsidRDefault="002A2910" w:rsidP="002A2910">
            <w:pPr>
              <w:autoSpaceDE w:val="0"/>
              <w:autoSpaceDN w:val="0"/>
              <w:adjustRightInd w:val="0"/>
              <w:jc w:val="both"/>
              <w:rPr>
                <w:rFonts w:asciiTheme="minorHAnsi" w:hAnsiTheme="minorHAnsi" w:cstheme="minorHAnsi"/>
                <w:color w:val="000000"/>
                <w:sz w:val="20"/>
              </w:rPr>
            </w:pPr>
          </w:p>
        </w:tc>
      </w:tr>
      <w:tr w:rsidR="002A2910" w:rsidRPr="002A2910" w:rsidTr="00097DA7">
        <w:trPr>
          <w:trHeight w:val="290"/>
        </w:trPr>
        <w:tc>
          <w:tcPr>
            <w:tcW w:w="8340" w:type="dxa"/>
            <w:noWrap/>
            <w:hideMark/>
          </w:tcPr>
          <w:p w:rsidR="002A2910" w:rsidRPr="002A2910" w:rsidRDefault="002A2910" w:rsidP="002A2910">
            <w:pPr>
              <w:autoSpaceDE w:val="0"/>
              <w:autoSpaceDN w:val="0"/>
              <w:adjustRightInd w:val="0"/>
              <w:jc w:val="both"/>
              <w:rPr>
                <w:rFonts w:asciiTheme="minorHAnsi" w:hAnsiTheme="minorHAnsi" w:cstheme="minorHAnsi"/>
                <w:b/>
                <w:bCs/>
                <w:color w:val="000000"/>
                <w:sz w:val="20"/>
              </w:rPr>
            </w:pPr>
            <w:r w:rsidRPr="002A2910">
              <w:rPr>
                <w:rFonts w:asciiTheme="minorHAnsi" w:hAnsiTheme="minorHAnsi" w:cstheme="minorHAnsi"/>
                <w:b/>
                <w:bCs/>
                <w:color w:val="000000"/>
                <w:sz w:val="20"/>
              </w:rPr>
              <w:t>United Lincolnshire Hospitals NHS Trust</w:t>
            </w:r>
          </w:p>
        </w:tc>
        <w:tc>
          <w:tcPr>
            <w:tcW w:w="8360" w:type="dxa"/>
            <w:noWrap/>
            <w:hideMark/>
          </w:tcPr>
          <w:p w:rsidR="002A2910" w:rsidRPr="002A2910" w:rsidRDefault="002A2910" w:rsidP="002A2910">
            <w:pPr>
              <w:autoSpaceDE w:val="0"/>
              <w:autoSpaceDN w:val="0"/>
              <w:adjustRightInd w:val="0"/>
              <w:jc w:val="both"/>
              <w:rPr>
                <w:rFonts w:asciiTheme="minorHAnsi" w:hAnsiTheme="minorHAnsi" w:cstheme="minorHAnsi"/>
                <w:b/>
                <w:bCs/>
                <w:color w:val="000000"/>
                <w:sz w:val="20"/>
              </w:rPr>
            </w:pPr>
            <w:r w:rsidRPr="002A2910">
              <w:rPr>
                <w:rFonts w:asciiTheme="minorHAnsi" w:hAnsiTheme="minorHAnsi" w:cstheme="minorHAnsi"/>
                <w:b/>
                <w:bCs/>
                <w:color w:val="000000"/>
                <w:sz w:val="20"/>
              </w:rPr>
              <w:t>United Lincolnshire Hospitals NHS Trust</w:t>
            </w:r>
          </w:p>
        </w:tc>
      </w:tr>
      <w:tr w:rsidR="002A2910" w:rsidRPr="002A2910" w:rsidTr="00097DA7">
        <w:trPr>
          <w:trHeight w:val="300"/>
        </w:trPr>
        <w:tc>
          <w:tcPr>
            <w:tcW w:w="8340" w:type="dxa"/>
            <w:noWrap/>
            <w:hideMark/>
          </w:tcPr>
          <w:p w:rsidR="002A2910" w:rsidRPr="002A2910" w:rsidRDefault="002A2910" w:rsidP="002A2910">
            <w:pPr>
              <w:autoSpaceDE w:val="0"/>
              <w:autoSpaceDN w:val="0"/>
              <w:adjustRightInd w:val="0"/>
              <w:jc w:val="both"/>
              <w:rPr>
                <w:rFonts w:asciiTheme="minorHAnsi" w:hAnsiTheme="minorHAnsi" w:cstheme="minorHAnsi"/>
                <w:color w:val="000000"/>
                <w:sz w:val="20"/>
              </w:rPr>
            </w:pPr>
            <w:r w:rsidRPr="002A2910">
              <w:rPr>
                <w:rFonts w:asciiTheme="minorHAnsi" w:hAnsiTheme="minorHAnsi" w:cstheme="minorHAnsi"/>
                <w:color w:val="000000"/>
                <w:sz w:val="20"/>
              </w:rPr>
              <w:t>, Chief Operating Officer</w:t>
            </w:r>
          </w:p>
        </w:tc>
        <w:tc>
          <w:tcPr>
            <w:tcW w:w="836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r w:rsidRPr="002A2910">
              <w:rPr>
                <w:rFonts w:asciiTheme="minorHAnsi" w:hAnsiTheme="minorHAnsi" w:cstheme="minorHAnsi"/>
                <w:color w:val="000000"/>
                <w:sz w:val="20"/>
              </w:rPr>
              <w:t>, Deputy Director of Operations (Project Manager, Deputy Chair)</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r w:rsidRPr="002A2910">
              <w:rPr>
                <w:rFonts w:asciiTheme="minorHAnsi" w:hAnsiTheme="minorHAnsi" w:cstheme="minorHAnsi"/>
                <w:color w:val="000000"/>
                <w:sz w:val="20"/>
              </w:rPr>
              <w:t>, Deputy Director of Operations (Project Manager, Deputy Chair)</w:t>
            </w:r>
          </w:p>
        </w:tc>
        <w:tc>
          <w:tcPr>
            <w:tcW w:w="836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r w:rsidRPr="002A2910">
              <w:rPr>
                <w:rFonts w:asciiTheme="minorHAnsi" w:hAnsiTheme="minorHAnsi" w:cstheme="minorHAnsi"/>
                <w:color w:val="000000"/>
                <w:sz w:val="20"/>
              </w:rPr>
              <w:t>, Consultant, Emergency Medicine</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r w:rsidRPr="002A2910">
              <w:rPr>
                <w:rFonts w:asciiTheme="minorHAnsi" w:hAnsiTheme="minorHAnsi" w:cstheme="minorHAnsi"/>
                <w:color w:val="000000"/>
                <w:sz w:val="20"/>
              </w:rPr>
              <w:t>, Associate Director of Estates and Capital Planning (Deputy Chair)</w:t>
            </w:r>
          </w:p>
        </w:tc>
        <w:tc>
          <w:tcPr>
            <w:tcW w:w="836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r w:rsidRPr="002A2910">
              <w:rPr>
                <w:rFonts w:asciiTheme="minorHAnsi" w:hAnsiTheme="minorHAnsi" w:cstheme="minorHAnsi"/>
                <w:color w:val="000000"/>
                <w:sz w:val="20"/>
              </w:rPr>
              <w:t>, Consultant in Acute Medicine, PHB</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r w:rsidRPr="002A2910">
              <w:rPr>
                <w:rFonts w:asciiTheme="minorHAnsi" w:hAnsiTheme="minorHAnsi" w:cstheme="minorHAnsi"/>
                <w:color w:val="000000"/>
                <w:sz w:val="20"/>
              </w:rPr>
              <w:t>, Assistant Director of Strategy and Change (Deputy Chair)</w:t>
            </w:r>
          </w:p>
        </w:tc>
        <w:tc>
          <w:tcPr>
            <w:tcW w:w="836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r w:rsidRPr="002A2910">
              <w:rPr>
                <w:rFonts w:asciiTheme="minorHAnsi" w:hAnsiTheme="minorHAnsi" w:cstheme="minorHAnsi"/>
                <w:color w:val="000000"/>
                <w:sz w:val="20"/>
              </w:rPr>
              <w:t>, Matron, Medicine</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r w:rsidRPr="002A2910">
              <w:rPr>
                <w:rFonts w:asciiTheme="minorHAnsi" w:hAnsiTheme="minorHAnsi" w:cstheme="minorHAnsi"/>
                <w:color w:val="000000"/>
                <w:sz w:val="20"/>
              </w:rPr>
              <w:t>, Director of Estates and Facilities</w:t>
            </w:r>
          </w:p>
        </w:tc>
        <w:tc>
          <w:tcPr>
            <w:tcW w:w="8360" w:type="dxa"/>
            <w:hideMark/>
          </w:tcPr>
          <w:p w:rsidR="002A2910" w:rsidRPr="002A2910" w:rsidRDefault="002A2910" w:rsidP="002A2910">
            <w:pPr>
              <w:autoSpaceDE w:val="0"/>
              <w:autoSpaceDN w:val="0"/>
              <w:adjustRightInd w:val="0"/>
              <w:rPr>
                <w:rFonts w:asciiTheme="minorHAnsi" w:hAnsiTheme="minorHAnsi"/>
                <w:color w:val="000000"/>
                <w:sz w:val="20"/>
              </w:rPr>
            </w:pPr>
            <w:r w:rsidRPr="002A2910">
              <w:rPr>
                <w:rFonts w:asciiTheme="minorHAnsi" w:hAnsiTheme="minorHAnsi"/>
                <w:color w:val="000000"/>
                <w:sz w:val="20"/>
              </w:rPr>
              <w:t>, Deputy Chief Nurse</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r w:rsidRPr="002A2910">
              <w:rPr>
                <w:rFonts w:asciiTheme="minorHAnsi" w:hAnsiTheme="minorHAnsi" w:cstheme="minorHAnsi"/>
                <w:color w:val="000000"/>
                <w:sz w:val="20"/>
              </w:rPr>
              <w:t>, Associate Director of Strategic Business Planning, Facilities</w:t>
            </w:r>
          </w:p>
        </w:tc>
        <w:tc>
          <w:tcPr>
            <w:tcW w:w="8360" w:type="dxa"/>
            <w:hideMark/>
          </w:tcPr>
          <w:p w:rsidR="002A2910" w:rsidRPr="002A2910" w:rsidRDefault="002A2910" w:rsidP="002A2910">
            <w:pPr>
              <w:autoSpaceDE w:val="0"/>
              <w:autoSpaceDN w:val="0"/>
              <w:adjustRightInd w:val="0"/>
              <w:rPr>
                <w:rFonts w:asciiTheme="minorHAnsi" w:hAnsiTheme="minorHAnsi"/>
                <w:color w:val="000000"/>
                <w:sz w:val="20"/>
              </w:rPr>
            </w:pPr>
            <w:r w:rsidRPr="002A2910">
              <w:rPr>
                <w:rFonts w:asciiTheme="minorHAnsi" w:hAnsiTheme="minorHAnsi"/>
                <w:color w:val="000000"/>
                <w:sz w:val="20"/>
              </w:rPr>
              <w:t>, Lead Sister, PHB ED</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r w:rsidRPr="002A2910">
              <w:rPr>
                <w:rFonts w:asciiTheme="minorHAnsi" w:hAnsiTheme="minorHAnsi" w:cstheme="minorHAnsi"/>
                <w:color w:val="000000"/>
                <w:sz w:val="20"/>
              </w:rPr>
              <w:t>, Associate Director of Finance</w:t>
            </w:r>
          </w:p>
        </w:tc>
        <w:tc>
          <w:tcPr>
            <w:tcW w:w="8360" w:type="dxa"/>
            <w:hideMark/>
          </w:tcPr>
          <w:p w:rsidR="002A2910" w:rsidRPr="002A2910" w:rsidRDefault="002A2910" w:rsidP="002A2910">
            <w:pPr>
              <w:autoSpaceDE w:val="0"/>
              <w:autoSpaceDN w:val="0"/>
              <w:adjustRightInd w:val="0"/>
              <w:rPr>
                <w:rFonts w:asciiTheme="minorHAnsi" w:hAnsiTheme="minorHAnsi"/>
                <w:color w:val="000000"/>
                <w:sz w:val="20"/>
              </w:rPr>
            </w:pPr>
            <w:r w:rsidRPr="002A2910">
              <w:rPr>
                <w:rFonts w:asciiTheme="minorHAnsi" w:hAnsiTheme="minorHAnsi"/>
                <w:color w:val="000000"/>
                <w:sz w:val="20"/>
              </w:rPr>
              <w:t>, Capital Projects Manager</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r w:rsidRPr="002A2910">
              <w:rPr>
                <w:rFonts w:asciiTheme="minorHAnsi" w:hAnsiTheme="minorHAnsi" w:cstheme="minorHAnsi"/>
                <w:color w:val="000000"/>
                <w:sz w:val="20"/>
              </w:rPr>
              <w:t>, Assistant Director of Finance</w:t>
            </w:r>
          </w:p>
        </w:tc>
        <w:tc>
          <w:tcPr>
            <w:tcW w:w="8360" w:type="dxa"/>
            <w:hideMark/>
          </w:tcPr>
          <w:p w:rsidR="002A2910" w:rsidRPr="002A2910" w:rsidRDefault="002A2910" w:rsidP="002A2910">
            <w:pPr>
              <w:autoSpaceDE w:val="0"/>
              <w:autoSpaceDN w:val="0"/>
              <w:adjustRightInd w:val="0"/>
              <w:rPr>
                <w:rFonts w:asciiTheme="minorHAnsi" w:hAnsiTheme="minorHAnsi"/>
                <w:color w:val="000000"/>
                <w:sz w:val="20"/>
              </w:rPr>
            </w:pPr>
            <w:r w:rsidRPr="002A2910">
              <w:rPr>
                <w:rFonts w:asciiTheme="minorHAnsi" w:hAnsiTheme="minorHAnsi"/>
                <w:color w:val="000000"/>
                <w:sz w:val="20"/>
              </w:rPr>
              <w:t>, General Manager, Medicine</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r w:rsidRPr="002A2910">
              <w:rPr>
                <w:rFonts w:asciiTheme="minorHAnsi" w:hAnsiTheme="minorHAnsi" w:cstheme="minorHAnsi"/>
                <w:color w:val="000000"/>
                <w:sz w:val="20"/>
              </w:rPr>
              <w:t>, Divisional Managing Director for Medicine</w:t>
            </w:r>
          </w:p>
        </w:tc>
        <w:tc>
          <w:tcPr>
            <w:tcW w:w="8360" w:type="dxa"/>
            <w:hideMark/>
          </w:tcPr>
          <w:p w:rsidR="002A2910" w:rsidRPr="002A2910" w:rsidRDefault="002A2910" w:rsidP="002A2910">
            <w:pPr>
              <w:autoSpaceDE w:val="0"/>
              <w:autoSpaceDN w:val="0"/>
              <w:adjustRightInd w:val="0"/>
              <w:rPr>
                <w:rFonts w:asciiTheme="minorHAnsi" w:hAnsiTheme="minorHAnsi"/>
                <w:color w:val="000000"/>
                <w:sz w:val="20"/>
              </w:rPr>
            </w:pPr>
            <w:r w:rsidRPr="002A2910">
              <w:rPr>
                <w:rFonts w:asciiTheme="minorHAnsi" w:hAnsiTheme="minorHAnsi"/>
                <w:color w:val="000000"/>
                <w:sz w:val="20"/>
              </w:rPr>
              <w:t>, Operational Service Manager, ED</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r w:rsidRPr="002A2910">
              <w:rPr>
                <w:rFonts w:asciiTheme="minorHAnsi" w:hAnsiTheme="minorHAnsi" w:cstheme="minorHAnsi"/>
                <w:color w:val="000000"/>
                <w:sz w:val="20"/>
              </w:rPr>
              <w:t>, Communications Officer</w:t>
            </w:r>
          </w:p>
        </w:tc>
        <w:tc>
          <w:tcPr>
            <w:tcW w:w="8360" w:type="dxa"/>
            <w:hideMark/>
          </w:tcPr>
          <w:p w:rsidR="002A2910" w:rsidRPr="002A2910" w:rsidRDefault="002A2910" w:rsidP="002A2910">
            <w:pPr>
              <w:autoSpaceDE w:val="0"/>
              <w:autoSpaceDN w:val="0"/>
              <w:adjustRightInd w:val="0"/>
              <w:rPr>
                <w:rFonts w:asciiTheme="minorHAnsi" w:hAnsiTheme="minorHAnsi"/>
                <w:color w:val="000000"/>
                <w:sz w:val="20"/>
              </w:rPr>
            </w:pPr>
            <w:r w:rsidRPr="002A2910">
              <w:rPr>
                <w:rFonts w:asciiTheme="minorHAnsi" w:hAnsiTheme="minorHAnsi"/>
                <w:color w:val="000000"/>
                <w:sz w:val="20"/>
              </w:rPr>
              <w:t>, Clinical Applications Engineer, Clinical Engineering</w:t>
            </w:r>
          </w:p>
        </w:tc>
      </w:tr>
      <w:tr w:rsidR="002A2910" w:rsidRPr="002A2910" w:rsidTr="00097DA7">
        <w:trPr>
          <w:trHeight w:val="300"/>
        </w:trPr>
        <w:tc>
          <w:tcPr>
            <w:tcW w:w="8340" w:type="dxa"/>
            <w:noWrap/>
            <w:hideMark/>
          </w:tcPr>
          <w:p w:rsidR="002A2910" w:rsidRPr="002A2910" w:rsidRDefault="002A2910" w:rsidP="002A2910">
            <w:pPr>
              <w:autoSpaceDE w:val="0"/>
              <w:autoSpaceDN w:val="0"/>
              <w:adjustRightInd w:val="0"/>
              <w:jc w:val="both"/>
              <w:rPr>
                <w:rFonts w:asciiTheme="minorHAnsi" w:hAnsiTheme="minorHAnsi" w:cstheme="minorHAnsi"/>
                <w:color w:val="000000"/>
                <w:sz w:val="20"/>
              </w:rPr>
            </w:pPr>
          </w:p>
        </w:tc>
        <w:tc>
          <w:tcPr>
            <w:tcW w:w="8360" w:type="dxa"/>
            <w:hideMark/>
          </w:tcPr>
          <w:p w:rsidR="002A2910" w:rsidRPr="002A2910" w:rsidRDefault="002A2910" w:rsidP="002A2910">
            <w:pPr>
              <w:autoSpaceDE w:val="0"/>
              <w:autoSpaceDN w:val="0"/>
              <w:adjustRightInd w:val="0"/>
              <w:rPr>
                <w:rFonts w:asciiTheme="minorHAnsi" w:hAnsiTheme="minorHAnsi"/>
                <w:color w:val="000000"/>
                <w:sz w:val="20"/>
              </w:rPr>
            </w:pPr>
            <w:r w:rsidRPr="002A2910">
              <w:rPr>
                <w:rFonts w:asciiTheme="minorHAnsi" w:hAnsiTheme="minorHAnsi"/>
                <w:color w:val="000000"/>
                <w:sz w:val="20"/>
              </w:rPr>
              <w:t>, Radiology</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b/>
                <w:bCs/>
                <w:color w:val="000000"/>
                <w:sz w:val="20"/>
              </w:rPr>
            </w:pPr>
            <w:r w:rsidRPr="002A2910">
              <w:rPr>
                <w:rFonts w:asciiTheme="minorHAnsi" w:hAnsiTheme="minorHAnsi" w:cstheme="minorHAnsi"/>
                <w:b/>
                <w:bCs/>
                <w:color w:val="000000"/>
                <w:sz w:val="20"/>
              </w:rPr>
              <w:t>Lincolnshire Clinical Commissioning Groups</w:t>
            </w:r>
          </w:p>
        </w:tc>
        <w:tc>
          <w:tcPr>
            <w:tcW w:w="8360" w:type="dxa"/>
            <w:hideMark/>
          </w:tcPr>
          <w:p w:rsidR="002A2910" w:rsidRPr="002A2910" w:rsidRDefault="002A2910" w:rsidP="002A2910">
            <w:pPr>
              <w:autoSpaceDE w:val="0"/>
              <w:autoSpaceDN w:val="0"/>
              <w:adjustRightInd w:val="0"/>
              <w:rPr>
                <w:rFonts w:asciiTheme="minorHAnsi" w:hAnsiTheme="minorHAnsi"/>
                <w:color w:val="000000"/>
                <w:sz w:val="20"/>
              </w:rPr>
            </w:pPr>
            <w:r w:rsidRPr="002A2910">
              <w:rPr>
                <w:rFonts w:asciiTheme="minorHAnsi" w:hAnsiTheme="minorHAnsi"/>
                <w:color w:val="000000"/>
                <w:sz w:val="20"/>
              </w:rPr>
              <w:t>, Pathology</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r w:rsidRPr="002A2910">
              <w:rPr>
                <w:rFonts w:asciiTheme="minorHAnsi" w:hAnsiTheme="minorHAnsi" w:cstheme="minorHAnsi"/>
                <w:color w:val="000000"/>
                <w:sz w:val="20"/>
              </w:rPr>
              <w:t>, Urgent Care Programme Director, Lincolnshire East CCG</w:t>
            </w:r>
          </w:p>
        </w:tc>
        <w:tc>
          <w:tcPr>
            <w:tcW w:w="8360" w:type="dxa"/>
            <w:hideMark/>
          </w:tcPr>
          <w:p w:rsidR="002A2910" w:rsidRPr="002A2910" w:rsidRDefault="002A2910" w:rsidP="002A2910">
            <w:pPr>
              <w:autoSpaceDE w:val="0"/>
              <w:autoSpaceDN w:val="0"/>
              <w:adjustRightInd w:val="0"/>
              <w:rPr>
                <w:rFonts w:asciiTheme="minorHAnsi" w:hAnsiTheme="minorHAnsi"/>
                <w:color w:val="000000"/>
                <w:sz w:val="20"/>
              </w:rPr>
            </w:pPr>
            <w:r w:rsidRPr="002A2910">
              <w:rPr>
                <w:rFonts w:asciiTheme="minorHAnsi" w:hAnsiTheme="minorHAnsi"/>
                <w:color w:val="000000"/>
                <w:sz w:val="20"/>
              </w:rPr>
              <w:t>, Staff Side</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r w:rsidRPr="002A2910">
              <w:rPr>
                <w:rFonts w:asciiTheme="minorHAnsi" w:hAnsiTheme="minorHAnsi" w:cstheme="minorHAnsi"/>
                <w:color w:val="000000"/>
                <w:sz w:val="20"/>
              </w:rPr>
              <w:t>, Interim Chief Operating Officer, Lincolnshire East CCG</w:t>
            </w:r>
          </w:p>
        </w:tc>
        <w:tc>
          <w:tcPr>
            <w:tcW w:w="8360" w:type="dxa"/>
            <w:hideMark/>
          </w:tcPr>
          <w:p w:rsidR="002A2910" w:rsidRPr="002A2910" w:rsidRDefault="002A2910" w:rsidP="002A2910">
            <w:pPr>
              <w:autoSpaceDE w:val="0"/>
              <w:autoSpaceDN w:val="0"/>
              <w:adjustRightInd w:val="0"/>
              <w:rPr>
                <w:rFonts w:asciiTheme="minorHAnsi" w:hAnsiTheme="minorHAnsi"/>
                <w:color w:val="000000"/>
                <w:sz w:val="20"/>
              </w:rPr>
            </w:pP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p>
        </w:tc>
        <w:tc>
          <w:tcPr>
            <w:tcW w:w="8360" w:type="dxa"/>
            <w:hideMark/>
          </w:tcPr>
          <w:p w:rsidR="002A2910" w:rsidRPr="002A2910" w:rsidRDefault="002A2910" w:rsidP="002A2910">
            <w:pPr>
              <w:autoSpaceDE w:val="0"/>
              <w:autoSpaceDN w:val="0"/>
              <w:adjustRightInd w:val="0"/>
              <w:rPr>
                <w:rFonts w:asciiTheme="minorHAnsi" w:hAnsiTheme="minorHAnsi"/>
                <w:b/>
                <w:bCs/>
                <w:color w:val="000000"/>
                <w:sz w:val="20"/>
              </w:rPr>
            </w:pPr>
            <w:r w:rsidRPr="002A2910">
              <w:rPr>
                <w:rFonts w:asciiTheme="minorHAnsi" w:hAnsiTheme="minorHAnsi"/>
                <w:b/>
                <w:bCs/>
                <w:color w:val="000000"/>
                <w:sz w:val="20"/>
              </w:rPr>
              <w:t>Lincolnshire Clinical Commissioning Groups</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b/>
                <w:bCs/>
                <w:color w:val="000000"/>
                <w:sz w:val="20"/>
              </w:rPr>
            </w:pPr>
            <w:r w:rsidRPr="002A2910">
              <w:rPr>
                <w:rFonts w:asciiTheme="minorHAnsi" w:hAnsiTheme="minorHAnsi" w:cstheme="minorHAnsi"/>
                <w:b/>
                <w:bCs/>
                <w:color w:val="000000"/>
                <w:sz w:val="20"/>
              </w:rPr>
              <w:t>Lincolnshire Community Health Services</w:t>
            </w:r>
          </w:p>
        </w:tc>
        <w:tc>
          <w:tcPr>
            <w:tcW w:w="8360" w:type="dxa"/>
            <w:hideMark/>
          </w:tcPr>
          <w:p w:rsidR="002A2910" w:rsidRPr="002A2910" w:rsidRDefault="002A2910" w:rsidP="002A2910">
            <w:pPr>
              <w:autoSpaceDE w:val="0"/>
              <w:autoSpaceDN w:val="0"/>
              <w:adjustRightInd w:val="0"/>
              <w:rPr>
                <w:rFonts w:asciiTheme="minorHAnsi" w:hAnsiTheme="minorHAnsi"/>
                <w:color w:val="000000"/>
                <w:sz w:val="20"/>
              </w:rPr>
            </w:pPr>
            <w:r w:rsidRPr="002A2910">
              <w:rPr>
                <w:rFonts w:asciiTheme="minorHAnsi" w:hAnsiTheme="minorHAnsi"/>
                <w:color w:val="000000"/>
                <w:sz w:val="20"/>
              </w:rPr>
              <w:t>, Urgent Care Programme Manager, Lincolnshire East CCG</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r w:rsidRPr="002A2910">
              <w:rPr>
                <w:rFonts w:asciiTheme="minorHAnsi" w:hAnsiTheme="minorHAnsi" w:cstheme="minorHAnsi"/>
                <w:color w:val="000000"/>
                <w:sz w:val="20"/>
              </w:rPr>
              <w:t>, Medical Director and Project Clinical Lead</w:t>
            </w:r>
          </w:p>
        </w:tc>
        <w:tc>
          <w:tcPr>
            <w:tcW w:w="8360" w:type="dxa"/>
            <w:noWrap/>
            <w:hideMark/>
          </w:tcPr>
          <w:p w:rsidR="002A2910" w:rsidRPr="002A2910" w:rsidRDefault="002A2910" w:rsidP="002A2910">
            <w:pPr>
              <w:autoSpaceDE w:val="0"/>
              <w:autoSpaceDN w:val="0"/>
              <w:adjustRightInd w:val="0"/>
              <w:rPr>
                <w:rFonts w:asciiTheme="minorHAnsi" w:hAnsiTheme="minorHAnsi"/>
                <w:color w:val="000000"/>
                <w:sz w:val="20"/>
              </w:rPr>
            </w:pPr>
            <w:r w:rsidRPr="002A2910">
              <w:rPr>
                <w:rFonts w:asciiTheme="minorHAnsi" w:hAnsiTheme="minorHAnsi"/>
                <w:color w:val="000000"/>
                <w:sz w:val="20"/>
              </w:rPr>
              <w:t>, Senior Commissioning and Performance Manager, Lincolnshire East CCG</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r w:rsidRPr="002A2910">
              <w:rPr>
                <w:rFonts w:asciiTheme="minorHAnsi" w:hAnsiTheme="minorHAnsi" w:cstheme="minorHAnsi"/>
                <w:color w:val="000000"/>
                <w:sz w:val="20"/>
              </w:rPr>
              <w:t>, Deputy Director of Operations</w:t>
            </w:r>
          </w:p>
        </w:tc>
        <w:tc>
          <w:tcPr>
            <w:tcW w:w="8360" w:type="dxa"/>
            <w:hideMark/>
          </w:tcPr>
          <w:p w:rsidR="002A2910" w:rsidRPr="002A2910" w:rsidRDefault="002A2910" w:rsidP="002A2910">
            <w:pPr>
              <w:autoSpaceDE w:val="0"/>
              <w:autoSpaceDN w:val="0"/>
              <w:adjustRightInd w:val="0"/>
              <w:jc w:val="both"/>
              <w:rPr>
                <w:rFonts w:asciiTheme="minorHAnsi" w:hAnsiTheme="minorHAnsi"/>
                <w:color w:val="000000"/>
                <w:sz w:val="20"/>
              </w:rPr>
            </w:pPr>
          </w:p>
        </w:tc>
      </w:tr>
      <w:tr w:rsidR="002A2910" w:rsidRPr="002A2910" w:rsidTr="00097DA7">
        <w:trPr>
          <w:trHeight w:val="300"/>
        </w:trPr>
        <w:tc>
          <w:tcPr>
            <w:tcW w:w="8340" w:type="dxa"/>
            <w:noWrap/>
            <w:hideMark/>
          </w:tcPr>
          <w:p w:rsidR="002A2910" w:rsidRPr="002A2910" w:rsidRDefault="002A2910" w:rsidP="002A2910">
            <w:pPr>
              <w:autoSpaceDE w:val="0"/>
              <w:autoSpaceDN w:val="0"/>
              <w:adjustRightInd w:val="0"/>
              <w:jc w:val="both"/>
              <w:rPr>
                <w:rFonts w:asciiTheme="minorHAnsi" w:hAnsiTheme="minorHAnsi" w:cstheme="minorHAnsi"/>
                <w:color w:val="000000"/>
                <w:sz w:val="20"/>
              </w:rPr>
            </w:pPr>
          </w:p>
        </w:tc>
        <w:tc>
          <w:tcPr>
            <w:tcW w:w="8360" w:type="dxa"/>
            <w:hideMark/>
          </w:tcPr>
          <w:p w:rsidR="002A2910" w:rsidRPr="002A2910" w:rsidRDefault="002A2910" w:rsidP="002A2910">
            <w:pPr>
              <w:autoSpaceDE w:val="0"/>
              <w:autoSpaceDN w:val="0"/>
              <w:adjustRightInd w:val="0"/>
              <w:rPr>
                <w:rFonts w:asciiTheme="minorHAnsi" w:hAnsiTheme="minorHAnsi"/>
                <w:b/>
                <w:bCs/>
                <w:color w:val="000000"/>
                <w:sz w:val="20"/>
              </w:rPr>
            </w:pPr>
            <w:r w:rsidRPr="002A2910">
              <w:rPr>
                <w:rFonts w:asciiTheme="minorHAnsi" w:hAnsiTheme="minorHAnsi"/>
                <w:b/>
                <w:bCs/>
                <w:color w:val="000000"/>
                <w:sz w:val="20"/>
              </w:rPr>
              <w:t>Lincolnshire Community Health Services</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b/>
                <w:bCs/>
                <w:color w:val="000000"/>
                <w:sz w:val="20"/>
              </w:rPr>
            </w:pPr>
            <w:r w:rsidRPr="002A2910">
              <w:rPr>
                <w:rFonts w:asciiTheme="minorHAnsi" w:hAnsiTheme="minorHAnsi" w:cstheme="minorHAnsi"/>
                <w:b/>
                <w:bCs/>
                <w:color w:val="000000"/>
                <w:sz w:val="20"/>
              </w:rPr>
              <w:t>In addition - co-opted as required</w:t>
            </w:r>
          </w:p>
        </w:tc>
        <w:tc>
          <w:tcPr>
            <w:tcW w:w="8360" w:type="dxa"/>
            <w:hideMark/>
          </w:tcPr>
          <w:p w:rsidR="002A2910" w:rsidRPr="002A2910" w:rsidRDefault="002A2910" w:rsidP="002A2910">
            <w:pPr>
              <w:autoSpaceDE w:val="0"/>
              <w:autoSpaceDN w:val="0"/>
              <w:adjustRightInd w:val="0"/>
              <w:rPr>
                <w:rFonts w:asciiTheme="minorHAnsi" w:hAnsiTheme="minorHAnsi"/>
                <w:color w:val="000000"/>
                <w:sz w:val="20"/>
              </w:rPr>
            </w:pPr>
            <w:r w:rsidRPr="002A2910">
              <w:rPr>
                <w:rFonts w:asciiTheme="minorHAnsi" w:hAnsiTheme="minorHAnsi"/>
                <w:color w:val="000000"/>
                <w:sz w:val="20"/>
              </w:rPr>
              <w:t>, GP</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r w:rsidRPr="002A2910">
              <w:rPr>
                <w:rFonts w:asciiTheme="minorHAnsi" w:hAnsiTheme="minorHAnsi" w:cstheme="minorHAnsi"/>
                <w:color w:val="000000"/>
                <w:sz w:val="20"/>
              </w:rPr>
              <w:t>, as Advisor to the Oversight Group</w:t>
            </w:r>
          </w:p>
        </w:tc>
        <w:tc>
          <w:tcPr>
            <w:tcW w:w="8360" w:type="dxa"/>
            <w:hideMark/>
          </w:tcPr>
          <w:p w:rsidR="002A2910" w:rsidRPr="002A2910" w:rsidRDefault="002A2910" w:rsidP="002A2910">
            <w:pPr>
              <w:autoSpaceDE w:val="0"/>
              <w:autoSpaceDN w:val="0"/>
              <w:adjustRightInd w:val="0"/>
              <w:rPr>
                <w:rFonts w:asciiTheme="minorHAnsi" w:hAnsiTheme="minorHAnsi"/>
                <w:color w:val="000000"/>
                <w:sz w:val="20"/>
              </w:rPr>
            </w:pPr>
            <w:r w:rsidRPr="002A2910">
              <w:rPr>
                <w:rFonts w:asciiTheme="minorHAnsi" w:hAnsiTheme="minorHAnsi"/>
                <w:color w:val="000000"/>
                <w:sz w:val="20"/>
              </w:rPr>
              <w:t>, Matron, PHB Urgent Care</w:t>
            </w:r>
          </w:p>
        </w:tc>
      </w:tr>
      <w:tr w:rsidR="002A2910" w:rsidRPr="002A2910" w:rsidTr="00097DA7">
        <w:trPr>
          <w:trHeight w:val="290"/>
        </w:trPr>
        <w:tc>
          <w:tcPr>
            <w:tcW w:w="8340" w:type="dxa"/>
            <w:noWrap/>
            <w:hideMark/>
          </w:tcPr>
          <w:p w:rsidR="002A2910" w:rsidRPr="002A2910" w:rsidRDefault="002A2910" w:rsidP="002A2910">
            <w:pPr>
              <w:autoSpaceDE w:val="0"/>
              <w:autoSpaceDN w:val="0"/>
              <w:adjustRightInd w:val="0"/>
              <w:jc w:val="both"/>
              <w:rPr>
                <w:rFonts w:asciiTheme="minorHAnsi" w:hAnsiTheme="minorHAnsi" w:cstheme="minorHAnsi"/>
                <w:color w:val="000000"/>
                <w:sz w:val="20"/>
              </w:rPr>
            </w:pPr>
          </w:p>
        </w:tc>
        <w:tc>
          <w:tcPr>
            <w:tcW w:w="8360" w:type="dxa"/>
            <w:noWrap/>
            <w:hideMark/>
          </w:tcPr>
          <w:p w:rsidR="002A2910" w:rsidRPr="002A2910" w:rsidRDefault="002A2910" w:rsidP="002A2910">
            <w:pPr>
              <w:autoSpaceDE w:val="0"/>
              <w:autoSpaceDN w:val="0"/>
              <w:adjustRightInd w:val="0"/>
              <w:rPr>
                <w:rFonts w:asciiTheme="minorHAnsi" w:hAnsiTheme="minorHAnsi"/>
                <w:color w:val="000000"/>
                <w:sz w:val="20"/>
              </w:rPr>
            </w:pPr>
            <w:r w:rsidRPr="002A2910">
              <w:rPr>
                <w:rFonts w:asciiTheme="minorHAnsi" w:hAnsiTheme="minorHAnsi"/>
                <w:color w:val="000000"/>
                <w:sz w:val="20"/>
              </w:rPr>
              <w:t>, Senior Project manager</w:t>
            </w:r>
          </w:p>
        </w:tc>
      </w:tr>
      <w:tr w:rsidR="002A2910" w:rsidRPr="002A2910" w:rsidTr="00097DA7">
        <w:trPr>
          <w:trHeight w:val="300"/>
        </w:trPr>
        <w:tc>
          <w:tcPr>
            <w:tcW w:w="8340" w:type="dxa"/>
            <w:noWrap/>
            <w:hideMark/>
          </w:tcPr>
          <w:p w:rsidR="002A2910" w:rsidRPr="002A2910" w:rsidRDefault="002A2910" w:rsidP="002A2910">
            <w:pPr>
              <w:autoSpaceDE w:val="0"/>
              <w:autoSpaceDN w:val="0"/>
              <w:adjustRightInd w:val="0"/>
              <w:jc w:val="both"/>
              <w:rPr>
                <w:rFonts w:asciiTheme="minorHAnsi" w:hAnsiTheme="minorHAnsi" w:cstheme="minorHAnsi"/>
                <w:color w:val="000000"/>
                <w:sz w:val="20"/>
              </w:rPr>
            </w:pPr>
          </w:p>
        </w:tc>
        <w:tc>
          <w:tcPr>
            <w:tcW w:w="8360" w:type="dxa"/>
            <w:hideMark/>
          </w:tcPr>
          <w:p w:rsidR="002A2910" w:rsidRPr="002A2910" w:rsidRDefault="002A2910" w:rsidP="002A2910">
            <w:pPr>
              <w:autoSpaceDE w:val="0"/>
              <w:autoSpaceDN w:val="0"/>
              <w:adjustRightInd w:val="0"/>
              <w:jc w:val="both"/>
              <w:rPr>
                <w:rFonts w:asciiTheme="minorHAnsi" w:hAnsiTheme="minorHAnsi"/>
                <w:color w:val="000000"/>
                <w:sz w:val="20"/>
              </w:rPr>
            </w:pPr>
          </w:p>
        </w:tc>
      </w:tr>
      <w:tr w:rsidR="002A2910" w:rsidRPr="002A2910" w:rsidTr="00097DA7">
        <w:trPr>
          <w:trHeight w:val="300"/>
        </w:trPr>
        <w:tc>
          <w:tcPr>
            <w:tcW w:w="8340" w:type="dxa"/>
            <w:noWrap/>
            <w:hideMark/>
          </w:tcPr>
          <w:p w:rsidR="002A2910" w:rsidRPr="002A2910" w:rsidRDefault="002A2910" w:rsidP="002A2910">
            <w:pPr>
              <w:autoSpaceDE w:val="0"/>
              <w:autoSpaceDN w:val="0"/>
              <w:adjustRightInd w:val="0"/>
              <w:jc w:val="both"/>
              <w:rPr>
                <w:rFonts w:asciiTheme="minorHAnsi" w:hAnsiTheme="minorHAnsi" w:cstheme="minorHAnsi"/>
                <w:color w:val="000000"/>
                <w:sz w:val="20"/>
              </w:rPr>
            </w:pPr>
          </w:p>
        </w:tc>
        <w:tc>
          <w:tcPr>
            <w:tcW w:w="8360" w:type="dxa"/>
            <w:hideMark/>
          </w:tcPr>
          <w:p w:rsidR="002A2910" w:rsidRPr="002A2910" w:rsidRDefault="002A2910" w:rsidP="002A2910">
            <w:pPr>
              <w:autoSpaceDE w:val="0"/>
              <w:autoSpaceDN w:val="0"/>
              <w:adjustRightInd w:val="0"/>
              <w:rPr>
                <w:rFonts w:asciiTheme="minorHAnsi" w:hAnsiTheme="minorHAnsi"/>
                <w:b/>
                <w:bCs/>
                <w:color w:val="000000"/>
                <w:sz w:val="20"/>
              </w:rPr>
            </w:pPr>
            <w:r w:rsidRPr="002A2910">
              <w:rPr>
                <w:rFonts w:asciiTheme="minorHAnsi" w:hAnsiTheme="minorHAnsi"/>
                <w:b/>
                <w:bCs/>
                <w:color w:val="000000"/>
                <w:sz w:val="20"/>
              </w:rPr>
              <w:t>Lincolnshire Primary Foundation Trust</w:t>
            </w:r>
          </w:p>
        </w:tc>
      </w:tr>
      <w:tr w:rsidR="002A2910" w:rsidRPr="002A2910" w:rsidTr="00097DA7">
        <w:trPr>
          <w:trHeight w:val="290"/>
        </w:trPr>
        <w:tc>
          <w:tcPr>
            <w:tcW w:w="8340" w:type="dxa"/>
            <w:noWrap/>
            <w:hideMark/>
          </w:tcPr>
          <w:p w:rsidR="002A2910" w:rsidRPr="002A2910" w:rsidRDefault="002A2910" w:rsidP="002A2910">
            <w:pPr>
              <w:autoSpaceDE w:val="0"/>
              <w:autoSpaceDN w:val="0"/>
              <w:adjustRightInd w:val="0"/>
              <w:jc w:val="both"/>
              <w:rPr>
                <w:rFonts w:asciiTheme="minorHAnsi" w:hAnsiTheme="minorHAnsi" w:cstheme="minorHAnsi"/>
                <w:color w:val="000000"/>
                <w:sz w:val="20"/>
              </w:rPr>
            </w:pPr>
          </w:p>
        </w:tc>
        <w:tc>
          <w:tcPr>
            <w:tcW w:w="8360" w:type="dxa"/>
            <w:noWrap/>
            <w:hideMark/>
          </w:tcPr>
          <w:p w:rsidR="002A2910" w:rsidRPr="002A2910" w:rsidRDefault="002A2910" w:rsidP="002A2910">
            <w:pPr>
              <w:autoSpaceDE w:val="0"/>
              <w:autoSpaceDN w:val="0"/>
              <w:adjustRightInd w:val="0"/>
              <w:rPr>
                <w:rFonts w:asciiTheme="minorHAnsi" w:hAnsiTheme="minorHAnsi"/>
                <w:color w:val="000000"/>
                <w:sz w:val="20"/>
              </w:rPr>
            </w:pPr>
            <w:r w:rsidRPr="002A2910">
              <w:rPr>
                <w:rFonts w:asciiTheme="minorHAnsi" w:hAnsiTheme="minorHAnsi"/>
                <w:color w:val="000000"/>
                <w:sz w:val="20"/>
              </w:rPr>
              <w:t>, Business manager</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p>
        </w:tc>
        <w:tc>
          <w:tcPr>
            <w:tcW w:w="8360" w:type="dxa"/>
            <w:hideMark/>
          </w:tcPr>
          <w:p w:rsidR="002A2910" w:rsidRPr="002A2910" w:rsidRDefault="002A2910" w:rsidP="002A2910">
            <w:pPr>
              <w:autoSpaceDE w:val="0"/>
              <w:autoSpaceDN w:val="0"/>
              <w:adjustRightInd w:val="0"/>
              <w:jc w:val="both"/>
              <w:rPr>
                <w:rFonts w:asciiTheme="minorHAnsi" w:hAnsiTheme="minorHAnsi"/>
                <w:color w:val="000000"/>
                <w:sz w:val="20"/>
              </w:rPr>
            </w:pPr>
          </w:p>
        </w:tc>
      </w:tr>
      <w:tr w:rsidR="002A2910" w:rsidRPr="002A2910" w:rsidTr="00097DA7">
        <w:trPr>
          <w:trHeight w:val="300"/>
        </w:trPr>
        <w:tc>
          <w:tcPr>
            <w:tcW w:w="8340" w:type="dxa"/>
            <w:noWrap/>
            <w:hideMark/>
          </w:tcPr>
          <w:p w:rsidR="002A2910" w:rsidRPr="002A2910" w:rsidRDefault="002A2910" w:rsidP="002A2910">
            <w:pPr>
              <w:autoSpaceDE w:val="0"/>
              <w:autoSpaceDN w:val="0"/>
              <w:adjustRightInd w:val="0"/>
              <w:jc w:val="both"/>
              <w:rPr>
                <w:rFonts w:asciiTheme="minorHAnsi" w:hAnsiTheme="minorHAnsi" w:cstheme="minorHAnsi"/>
                <w:color w:val="000000"/>
                <w:sz w:val="20"/>
              </w:rPr>
            </w:pPr>
          </w:p>
        </w:tc>
        <w:tc>
          <w:tcPr>
            <w:tcW w:w="8360" w:type="dxa"/>
            <w:hideMark/>
          </w:tcPr>
          <w:p w:rsidR="002A2910" w:rsidRPr="002A2910" w:rsidRDefault="002A2910" w:rsidP="002A2910">
            <w:pPr>
              <w:autoSpaceDE w:val="0"/>
              <w:autoSpaceDN w:val="0"/>
              <w:adjustRightInd w:val="0"/>
              <w:rPr>
                <w:rFonts w:asciiTheme="minorHAnsi" w:hAnsiTheme="minorHAnsi"/>
                <w:b/>
                <w:bCs/>
                <w:color w:val="000000"/>
                <w:sz w:val="20"/>
              </w:rPr>
            </w:pPr>
            <w:r w:rsidRPr="002A2910">
              <w:rPr>
                <w:rFonts w:asciiTheme="minorHAnsi" w:hAnsiTheme="minorHAnsi"/>
                <w:b/>
                <w:bCs/>
                <w:color w:val="000000"/>
                <w:sz w:val="20"/>
              </w:rPr>
              <w:t>In addition - co-opted as required</w:t>
            </w:r>
          </w:p>
        </w:tc>
      </w:tr>
      <w:tr w:rsidR="002A2910" w:rsidRPr="002A2910" w:rsidTr="00097DA7">
        <w:trPr>
          <w:trHeight w:val="300"/>
        </w:trPr>
        <w:tc>
          <w:tcPr>
            <w:tcW w:w="8340" w:type="dxa"/>
            <w:noWrap/>
            <w:hideMark/>
          </w:tcPr>
          <w:p w:rsidR="002A2910" w:rsidRPr="002A2910" w:rsidRDefault="002A2910" w:rsidP="002A2910">
            <w:pPr>
              <w:autoSpaceDE w:val="0"/>
              <w:autoSpaceDN w:val="0"/>
              <w:adjustRightInd w:val="0"/>
              <w:jc w:val="both"/>
              <w:rPr>
                <w:rFonts w:asciiTheme="minorHAnsi" w:hAnsiTheme="minorHAnsi" w:cstheme="minorHAnsi"/>
                <w:color w:val="000000"/>
                <w:sz w:val="20"/>
              </w:rPr>
            </w:pPr>
          </w:p>
        </w:tc>
        <w:tc>
          <w:tcPr>
            <w:tcW w:w="8360" w:type="dxa"/>
            <w:hideMark/>
          </w:tcPr>
          <w:p w:rsidR="002A2910" w:rsidRPr="002A2910" w:rsidRDefault="002A2910" w:rsidP="002A2910">
            <w:pPr>
              <w:autoSpaceDE w:val="0"/>
              <w:autoSpaceDN w:val="0"/>
              <w:adjustRightInd w:val="0"/>
              <w:rPr>
                <w:rFonts w:asciiTheme="minorHAnsi" w:hAnsiTheme="minorHAnsi"/>
                <w:color w:val="000000"/>
                <w:sz w:val="20"/>
              </w:rPr>
            </w:pPr>
            <w:r w:rsidRPr="002A2910">
              <w:rPr>
                <w:rFonts w:asciiTheme="minorHAnsi" w:hAnsiTheme="minorHAnsi"/>
                <w:color w:val="000000"/>
                <w:sz w:val="20"/>
              </w:rPr>
              <w:t>, EMAS</w:t>
            </w:r>
          </w:p>
        </w:tc>
      </w:tr>
      <w:tr w:rsidR="002A2910" w:rsidRPr="002A2910" w:rsidTr="00097DA7">
        <w:trPr>
          <w:trHeight w:val="300"/>
        </w:trPr>
        <w:tc>
          <w:tcPr>
            <w:tcW w:w="8340" w:type="dxa"/>
            <w:hideMark/>
          </w:tcPr>
          <w:p w:rsidR="002A2910" w:rsidRPr="002A2910" w:rsidRDefault="002A2910" w:rsidP="002A2910">
            <w:pPr>
              <w:autoSpaceDE w:val="0"/>
              <w:autoSpaceDN w:val="0"/>
              <w:adjustRightInd w:val="0"/>
              <w:rPr>
                <w:rFonts w:asciiTheme="minorHAnsi" w:hAnsiTheme="minorHAnsi" w:cstheme="minorHAnsi"/>
                <w:color w:val="000000"/>
                <w:sz w:val="20"/>
              </w:rPr>
            </w:pPr>
          </w:p>
        </w:tc>
        <w:tc>
          <w:tcPr>
            <w:tcW w:w="8360" w:type="dxa"/>
            <w:hideMark/>
          </w:tcPr>
          <w:p w:rsidR="002A2910" w:rsidRPr="002A2910" w:rsidRDefault="002A2910" w:rsidP="002A2910">
            <w:pPr>
              <w:autoSpaceDE w:val="0"/>
              <w:autoSpaceDN w:val="0"/>
              <w:adjustRightInd w:val="0"/>
              <w:rPr>
                <w:rFonts w:asciiTheme="minorHAnsi" w:hAnsiTheme="minorHAnsi"/>
                <w:color w:val="000000"/>
                <w:sz w:val="20"/>
              </w:rPr>
            </w:pPr>
            <w:r w:rsidRPr="002A2910">
              <w:rPr>
                <w:rFonts w:asciiTheme="minorHAnsi" w:hAnsiTheme="minorHAnsi"/>
                <w:color w:val="000000"/>
                <w:sz w:val="20"/>
              </w:rPr>
              <w:t>Patient Representatives</w:t>
            </w:r>
          </w:p>
        </w:tc>
      </w:tr>
      <w:tr w:rsidR="002A2910" w:rsidRPr="002A2910" w:rsidTr="00097DA7">
        <w:trPr>
          <w:trHeight w:val="300"/>
        </w:trPr>
        <w:tc>
          <w:tcPr>
            <w:tcW w:w="4256" w:type="dxa"/>
            <w:hideMark/>
          </w:tcPr>
          <w:p w:rsidR="002A2910" w:rsidRPr="002A2910" w:rsidRDefault="002A2910" w:rsidP="002A2910">
            <w:pPr>
              <w:autoSpaceDE w:val="0"/>
              <w:autoSpaceDN w:val="0"/>
              <w:adjustRightInd w:val="0"/>
              <w:rPr>
                <w:rFonts w:asciiTheme="minorHAnsi" w:hAnsiTheme="minorHAnsi"/>
                <w:color w:val="000000"/>
                <w:sz w:val="20"/>
              </w:rPr>
            </w:pPr>
          </w:p>
        </w:tc>
        <w:tc>
          <w:tcPr>
            <w:tcW w:w="4266" w:type="dxa"/>
            <w:hideMark/>
          </w:tcPr>
          <w:p w:rsidR="002A2910" w:rsidRPr="002A2910" w:rsidRDefault="002A2910" w:rsidP="002A2910">
            <w:pPr>
              <w:autoSpaceDE w:val="0"/>
              <w:autoSpaceDN w:val="0"/>
              <w:adjustRightInd w:val="0"/>
              <w:rPr>
                <w:rFonts w:asciiTheme="minorHAnsi" w:hAnsiTheme="minorHAnsi"/>
                <w:color w:val="000000"/>
                <w:sz w:val="20"/>
              </w:rPr>
            </w:pPr>
            <w:r w:rsidRPr="002A2910">
              <w:rPr>
                <w:rFonts w:asciiTheme="minorHAnsi" w:hAnsiTheme="minorHAnsi"/>
                <w:color w:val="000000"/>
                <w:sz w:val="20"/>
              </w:rPr>
              <w:t>Adult Social Care</w:t>
            </w:r>
          </w:p>
        </w:tc>
      </w:tr>
      <w:tr w:rsidR="002A2910" w:rsidRPr="002A2910" w:rsidTr="00097DA7">
        <w:trPr>
          <w:trHeight w:val="300"/>
        </w:trPr>
        <w:tc>
          <w:tcPr>
            <w:tcW w:w="4256" w:type="dxa"/>
            <w:hideMark/>
          </w:tcPr>
          <w:p w:rsidR="002A2910" w:rsidRPr="002A2910" w:rsidRDefault="002A2910" w:rsidP="002A2910">
            <w:pPr>
              <w:autoSpaceDE w:val="0"/>
              <w:autoSpaceDN w:val="0"/>
              <w:adjustRightInd w:val="0"/>
              <w:rPr>
                <w:rFonts w:asciiTheme="minorHAnsi" w:hAnsiTheme="minorHAnsi"/>
                <w:color w:val="000000"/>
                <w:sz w:val="20"/>
              </w:rPr>
            </w:pPr>
          </w:p>
        </w:tc>
        <w:tc>
          <w:tcPr>
            <w:tcW w:w="4266" w:type="dxa"/>
            <w:hideMark/>
          </w:tcPr>
          <w:p w:rsidR="002A2910" w:rsidRPr="002A2910" w:rsidRDefault="002A2910" w:rsidP="002A2910">
            <w:pPr>
              <w:autoSpaceDE w:val="0"/>
              <w:autoSpaceDN w:val="0"/>
              <w:adjustRightInd w:val="0"/>
              <w:rPr>
                <w:rFonts w:asciiTheme="minorHAnsi" w:hAnsiTheme="minorHAnsi"/>
                <w:color w:val="000000"/>
                <w:sz w:val="20"/>
              </w:rPr>
            </w:pPr>
          </w:p>
        </w:tc>
      </w:tr>
    </w:tbl>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r w:rsidRPr="002A2910">
        <w:rPr>
          <w:rFonts w:ascii="Calibri" w:eastAsia="Times New Roman" w:hAnsi="Calibri" w:cs="Calibri"/>
          <w:color w:val="000000"/>
          <w:sz w:val="23"/>
          <w:szCs w:val="23"/>
          <w:lang w:eastAsia="en-GB"/>
        </w:rPr>
        <w:t xml:space="preserve">For a meeting to be quorate there must be input from the clinical as well as management teams.  The POG must include the Chief Operating Officer or deputy, a member of ULHT Clinical Teams </w:t>
      </w:r>
      <w:r w:rsidRPr="002A2910">
        <w:rPr>
          <w:rFonts w:ascii="Calibri" w:eastAsia="Times New Roman" w:hAnsi="Calibri" w:cs="Calibri"/>
          <w:color w:val="000000"/>
          <w:sz w:val="23"/>
          <w:szCs w:val="23"/>
          <w:lang w:eastAsia="en-GB"/>
        </w:rPr>
        <w:lastRenderedPageBreak/>
        <w:t>and Management Teams and a member from CCG and LCHS.  For PWG to be quorate there must be a member of the ED clinical team, management team and a member of staff from LCHS.</w:t>
      </w: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r w:rsidRPr="002A2910">
        <w:rPr>
          <w:rFonts w:ascii="Calibri" w:eastAsia="Times New Roman" w:hAnsi="Calibri" w:cs="Calibri"/>
          <w:color w:val="000000"/>
          <w:sz w:val="23"/>
          <w:szCs w:val="23"/>
          <w:lang w:eastAsia="en-GB"/>
        </w:rPr>
        <w:t>Co-opted members will be requested to join the meeting as required.</w:t>
      </w: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r w:rsidRPr="002A2910">
        <w:rPr>
          <w:rFonts w:ascii="Calibri" w:eastAsia="Times New Roman" w:hAnsi="Calibri" w:cs="Calibri"/>
          <w:b/>
          <w:bCs/>
          <w:color w:val="000000"/>
          <w:sz w:val="23"/>
          <w:szCs w:val="23"/>
          <w:lang w:eastAsia="en-GB"/>
        </w:rPr>
        <w:t xml:space="preserve">4. Frequency </w:t>
      </w: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r w:rsidRPr="002A2910">
        <w:rPr>
          <w:rFonts w:ascii="Calibri" w:eastAsia="Times New Roman" w:hAnsi="Calibri" w:cs="Calibri"/>
          <w:color w:val="000000"/>
          <w:sz w:val="23"/>
          <w:szCs w:val="23"/>
          <w:lang w:eastAsia="en-GB"/>
        </w:rPr>
        <w:t xml:space="preserve">The Project </w:t>
      </w:r>
      <w:proofErr w:type="gramStart"/>
      <w:r w:rsidRPr="002A2910">
        <w:rPr>
          <w:rFonts w:ascii="Calibri" w:eastAsia="Times New Roman" w:hAnsi="Calibri" w:cs="Calibri"/>
          <w:color w:val="000000"/>
          <w:sz w:val="23"/>
          <w:szCs w:val="23"/>
          <w:lang w:eastAsia="en-GB"/>
        </w:rPr>
        <w:t>Assurance  Group</w:t>
      </w:r>
      <w:proofErr w:type="gramEnd"/>
      <w:r w:rsidRPr="002A2910">
        <w:rPr>
          <w:rFonts w:ascii="Calibri" w:eastAsia="Times New Roman" w:hAnsi="Calibri" w:cs="Calibri"/>
          <w:color w:val="000000"/>
          <w:sz w:val="23"/>
          <w:szCs w:val="23"/>
          <w:lang w:eastAsia="en-GB"/>
        </w:rPr>
        <w:t xml:space="preserve"> will convene on a fortnightly basis, the working group weekly. </w:t>
      </w: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p>
    <w:p w:rsidR="002A2910" w:rsidRPr="002A2910" w:rsidRDefault="002A2910" w:rsidP="002A2910">
      <w:pPr>
        <w:autoSpaceDE w:val="0"/>
        <w:autoSpaceDN w:val="0"/>
        <w:adjustRightInd w:val="0"/>
        <w:jc w:val="both"/>
        <w:rPr>
          <w:rFonts w:ascii="Calibri" w:eastAsia="Times New Roman" w:hAnsi="Calibri" w:cs="Calibri"/>
          <w:b/>
          <w:bCs/>
          <w:color w:val="000000"/>
          <w:sz w:val="23"/>
          <w:szCs w:val="23"/>
          <w:lang w:eastAsia="en-GB"/>
        </w:rPr>
      </w:pPr>
      <w:r w:rsidRPr="002A2910">
        <w:rPr>
          <w:rFonts w:ascii="Calibri" w:eastAsia="Times New Roman" w:hAnsi="Calibri" w:cs="Calibri"/>
          <w:b/>
          <w:bCs/>
          <w:color w:val="000000"/>
          <w:sz w:val="23"/>
          <w:szCs w:val="23"/>
          <w:lang w:eastAsia="en-GB"/>
        </w:rPr>
        <w:t xml:space="preserve">5. Authority </w:t>
      </w: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r w:rsidRPr="002A2910">
        <w:rPr>
          <w:rFonts w:ascii="Calibri" w:eastAsia="Times New Roman" w:hAnsi="Calibri" w:cs="Calibri"/>
          <w:color w:val="000000"/>
          <w:sz w:val="23"/>
          <w:szCs w:val="23"/>
          <w:lang w:eastAsia="en-GB"/>
        </w:rPr>
        <w:t>The Project Oversight Group will be accountable to the Trust Board and Executive Team and will update the Urgent Care Delivery Board as required.  Summary Progress and Exception Reports will be produced weekly for Trust Board Meetings.</w:t>
      </w:r>
    </w:p>
    <w:p w:rsidR="002A2910" w:rsidRPr="002A2910" w:rsidRDefault="002A2910" w:rsidP="002A2910">
      <w:pPr>
        <w:autoSpaceDE w:val="0"/>
        <w:autoSpaceDN w:val="0"/>
        <w:adjustRightInd w:val="0"/>
        <w:jc w:val="both"/>
        <w:rPr>
          <w:rFonts w:ascii="Calibri" w:eastAsia="Times New Roman" w:hAnsi="Calibri" w:cs="Calibri"/>
          <w:color w:val="000000"/>
          <w:sz w:val="23"/>
          <w:szCs w:val="23"/>
          <w:lang w:eastAsia="en-GB"/>
        </w:rPr>
      </w:pPr>
    </w:p>
    <w:p w:rsidR="002A2910" w:rsidRPr="002A2910" w:rsidRDefault="002A2910" w:rsidP="002A2910">
      <w:pPr>
        <w:autoSpaceDE w:val="0"/>
        <w:autoSpaceDN w:val="0"/>
        <w:adjustRightInd w:val="0"/>
        <w:jc w:val="both"/>
        <w:rPr>
          <w:rFonts w:eastAsia="Times New Roman" w:cs="Arial"/>
          <w:color w:val="000000"/>
          <w:sz w:val="23"/>
          <w:szCs w:val="23"/>
          <w:lang w:eastAsia="en-GB"/>
        </w:rPr>
      </w:pPr>
      <w:r w:rsidRPr="002A2910">
        <w:rPr>
          <w:rFonts w:ascii="Calibri" w:eastAsia="Times New Roman" w:hAnsi="Calibri" w:cs="Calibri"/>
          <w:b/>
          <w:bCs/>
          <w:color w:val="000000"/>
          <w:sz w:val="23"/>
          <w:szCs w:val="23"/>
          <w:lang w:eastAsia="en-GB"/>
        </w:rPr>
        <w:t>6. Administration</w:t>
      </w:r>
    </w:p>
    <w:p w:rsidR="002A2910" w:rsidRPr="002A2910" w:rsidRDefault="002A2910" w:rsidP="002A2910">
      <w:pPr>
        <w:autoSpaceDE w:val="0"/>
        <w:autoSpaceDN w:val="0"/>
        <w:adjustRightInd w:val="0"/>
        <w:jc w:val="both"/>
        <w:rPr>
          <w:rFonts w:ascii="Calibri" w:eastAsia="Times New Roman" w:hAnsi="Calibri" w:cs="Calibri"/>
          <w:szCs w:val="24"/>
          <w:lang w:eastAsia="en-GB"/>
        </w:rPr>
      </w:pPr>
      <w:r w:rsidRPr="002A2910">
        <w:rPr>
          <w:rFonts w:ascii="Calibri" w:eastAsia="Times New Roman" w:hAnsi="Calibri" w:cs="Calibri"/>
          <w:szCs w:val="24"/>
          <w:lang w:eastAsia="en-GB"/>
        </w:rPr>
        <w:t>Will be provided to the group by Medicine Personal Assistant / Administrative Team with support from, PA to the Chief Operating Officer and, Administrator, Facilities.</w:t>
      </w:r>
    </w:p>
    <w:p w:rsidR="002A2910" w:rsidRPr="002A2910" w:rsidRDefault="002A2910" w:rsidP="002A2910">
      <w:pPr>
        <w:autoSpaceDE w:val="0"/>
        <w:autoSpaceDN w:val="0"/>
        <w:adjustRightInd w:val="0"/>
        <w:jc w:val="both"/>
        <w:rPr>
          <w:rFonts w:ascii="Calibri" w:eastAsia="Times New Roman" w:hAnsi="Calibri" w:cs="Calibri"/>
          <w:color w:val="000000"/>
          <w:szCs w:val="24"/>
          <w:lang w:eastAsia="en-GB"/>
        </w:rPr>
      </w:pPr>
    </w:p>
    <w:p w:rsidR="002A2910" w:rsidRPr="002A2910" w:rsidRDefault="002A2910" w:rsidP="002A2910">
      <w:pPr>
        <w:rPr>
          <w:rFonts w:ascii="Calibri" w:eastAsia="Times New Roman" w:hAnsi="Calibri" w:cs="Calibri"/>
          <w:color w:val="000000"/>
          <w:szCs w:val="24"/>
          <w:lang w:eastAsia="en-GB"/>
        </w:rPr>
      </w:pPr>
      <w:r w:rsidRPr="002A2910">
        <w:rPr>
          <w:rFonts w:eastAsia="Times New Roman" w:cs="Times New Roman"/>
          <w:szCs w:val="24"/>
          <w:lang w:eastAsia="en-GB"/>
        </w:rPr>
        <w:br w:type="page"/>
      </w:r>
    </w:p>
    <w:p w:rsidR="002A2910" w:rsidRPr="002A2910" w:rsidRDefault="002A2910" w:rsidP="002A2910">
      <w:pPr>
        <w:autoSpaceDE w:val="0"/>
        <w:autoSpaceDN w:val="0"/>
        <w:adjustRightInd w:val="0"/>
        <w:jc w:val="both"/>
        <w:rPr>
          <w:rFonts w:ascii="Calibri" w:eastAsia="Times New Roman" w:hAnsi="Calibri" w:cs="Calibri"/>
          <w:color w:val="000000"/>
          <w:szCs w:val="24"/>
          <w:lang w:eastAsia="en-GB"/>
        </w:rPr>
      </w:pPr>
      <w:r w:rsidRPr="002A2910">
        <w:rPr>
          <w:rFonts w:ascii="Calibri" w:eastAsia="Times New Roman" w:hAnsi="Calibri" w:cs="Calibri"/>
          <w:color w:val="000000"/>
          <w:szCs w:val="24"/>
          <w:lang w:eastAsia="en-GB"/>
        </w:rPr>
        <w:lastRenderedPageBreak/>
        <w:t>Appendix A – Meeting and Reporting Structure</w:t>
      </w:r>
    </w:p>
    <w:p w:rsidR="002A2910" w:rsidRPr="002A2910" w:rsidRDefault="002A2910" w:rsidP="002A2910">
      <w:pPr>
        <w:autoSpaceDE w:val="0"/>
        <w:autoSpaceDN w:val="0"/>
        <w:adjustRightInd w:val="0"/>
        <w:jc w:val="both"/>
        <w:rPr>
          <w:rFonts w:ascii="Calibri" w:eastAsia="Times New Roman" w:hAnsi="Calibri" w:cs="Calibri"/>
          <w:color w:val="000000"/>
          <w:szCs w:val="24"/>
          <w:lang w:eastAsia="en-GB"/>
        </w:rPr>
      </w:pPr>
    </w:p>
    <w:p w:rsidR="002A2910" w:rsidRPr="002A2910" w:rsidRDefault="002A2910" w:rsidP="002A2910">
      <w:pPr>
        <w:autoSpaceDE w:val="0"/>
        <w:autoSpaceDN w:val="0"/>
        <w:adjustRightInd w:val="0"/>
        <w:jc w:val="both"/>
        <w:rPr>
          <w:rFonts w:ascii="Calibri" w:eastAsia="Times New Roman" w:hAnsi="Calibri" w:cs="Calibri"/>
          <w:color w:val="000000"/>
          <w:szCs w:val="24"/>
          <w:lang w:eastAsia="en-GB"/>
        </w:rPr>
      </w:pPr>
    </w:p>
    <w:p w:rsidR="002A2910" w:rsidRPr="002A2910" w:rsidRDefault="002A2910" w:rsidP="002A2910">
      <w:pPr>
        <w:autoSpaceDE w:val="0"/>
        <w:autoSpaceDN w:val="0"/>
        <w:adjustRightInd w:val="0"/>
        <w:jc w:val="center"/>
        <w:rPr>
          <w:rFonts w:ascii="Calibri" w:eastAsia="Times New Roman" w:hAnsi="Calibri" w:cs="Calibri"/>
          <w:color w:val="000000"/>
          <w:szCs w:val="24"/>
          <w:lang w:eastAsia="en-GB"/>
        </w:rPr>
      </w:pPr>
      <w:r w:rsidRPr="002A2910">
        <w:rPr>
          <w:rFonts w:ascii="Calibri" w:eastAsia="Times New Roman" w:hAnsi="Calibri" w:cs="Calibri"/>
          <w:noProof/>
          <w:color w:val="000000"/>
          <w:szCs w:val="24"/>
          <w:lang w:eastAsia="en-GB"/>
        </w:rPr>
        <w:drawing>
          <wp:inline distT="0" distB="0" distL="0" distR="0" wp14:anchorId="79C6888A" wp14:editId="507111FD">
            <wp:extent cx="4223153" cy="3817901"/>
            <wp:effectExtent l="0" t="0" r="635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4225441" cy="3819969"/>
                    </a:xfrm>
                    <a:prstGeom prst="rect">
                      <a:avLst/>
                    </a:prstGeom>
                    <a:ln>
                      <a:noFill/>
                    </a:ln>
                    <a:extLst>
                      <a:ext uri="{53640926-AAD7-44D8-BBD7-CCE9431645EC}">
                        <a14:shadowObscured xmlns:a14="http://schemas.microsoft.com/office/drawing/2010/main"/>
                      </a:ext>
                    </a:extLst>
                  </pic:spPr>
                </pic:pic>
              </a:graphicData>
            </a:graphic>
          </wp:inline>
        </w:drawing>
      </w:r>
    </w:p>
    <w:p w:rsidR="002A2910" w:rsidRDefault="002A2910">
      <w:pPr>
        <w:spacing w:after="200" w:line="276" w:lineRule="auto"/>
        <w:rPr>
          <w:rFonts w:ascii="Calibri" w:eastAsia="Times New Roman" w:hAnsi="Calibri" w:cs="Calibri"/>
          <w:color w:val="000000"/>
          <w:szCs w:val="24"/>
          <w:lang w:eastAsia="en-GB"/>
        </w:rPr>
      </w:pPr>
      <w:r>
        <w:rPr>
          <w:rFonts w:ascii="Calibri" w:eastAsia="Times New Roman" w:hAnsi="Calibri" w:cs="Calibri"/>
          <w:color w:val="000000"/>
          <w:szCs w:val="24"/>
          <w:lang w:eastAsia="en-GB"/>
        </w:rPr>
        <w:br w:type="page"/>
      </w:r>
    </w:p>
    <w:p w:rsidR="002A2910" w:rsidRPr="002A2910" w:rsidRDefault="002A2910" w:rsidP="002A2910">
      <w:pPr>
        <w:pBdr>
          <w:bottom w:val="single" w:sz="6" w:space="1" w:color="auto"/>
        </w:pBdr>
      </w:pPr>
    </w:p>
    <w:p w:rsidR="002A2910" w:rsidRPr="002A2910" w:rsidRDefault="002A2910" w:rsidP="002A2910"/>
    <w:p w:rsidR="002A2910" w:rsidRPr="002A2910" w:rsidRDefault="002A2910" w:rsidP="002A2910">
      <w:pPr>
        <w:jc w:val="center"/>
        <w:rPr>
          <w:b/>
          <w:sz w:val="36"/>
        </w:rPr>
      </w:pPr>
      <w:r w:rsidRPr="002A2910">
        <w:rPr>
          <w:b/>
          <w:sz w:val="36"/>
        </w:rPr>
        <w:t>Terms of Reference</w:t>
      </w:r>
    </w:p>
    <w:p w:rsidR="002A2910" w:rsidRPr="002A2910" w:rsidRDefault="002A2910" w:rsidP="002A2910">
      <w:pPr>
        <w:jc w:val="center"/>
        <w:rPr>
          <w:sz w:val="36"/>
        </w:rPr>
      </w:pPr>
    </w:p>
    <w:p w:rsidR="002A2910" w:rsidRPr="002A2910" w:rsidRDefault="002A2910" w:rsidP="002A2910">
      <w:pPr>
        <w:pBdr>
          <w:bottom w:val="single" w:sz="8" w:space="4" w:color="4F81BD" w:themeColor="accent1"/>
        </w:pBdr>
        <w:spacing w:after="300"/>
        <w:contextualSpacing/>
        <w:jc w:val="center"/>
        <w:rPr>
          <w:rFonts w:asciiTheme="majorHAnsi" w:eastAsiaTheme="majorEastAsia" w:hAnsiTheme="majorHAnsi" w:cstheme="majorBidi"/>
          <w:color w:val="17365D" w:themeColor="text2" w:themeShade="BF"/>
          <w:spacing w:val="5"/>
          <w:kern w:val="28"/>
          <w:sz w:val="52"/>
          <w:szCs w:val="52"/>
        </w:rPr>
      </w:pPr>
      <w:r w:rsidRPr="002A2910">
        <w:rPr>
          <w:rFonts w:asciiTheme="majorHAnsi" w:eastAsiaTheme="majorEastAsia" w:hAnsiTheme="majorHAnsi" w:cstheme="majorBidi"/>
          <w:color w:val="17365D" w:themeColor="text2" w:themeShade="BF"/>
          <w:spacing w:val="5"/>
          <w:kern w:val="28"/>
          <w:sz w:val="52"/>
          <w:szCs w:val="52"/>
        </w:rPr>
        <w:t xml:space="preserve">The Pilgrim ED oversight group – </w:t>
      </w:r>
      <w:proofErr w:type="spellStart"/>
      <w:r w:rsidRPr="002A2910">
        <w:rPr>
          <w:rFonts w:asciiTheme="majorHAnsi" w:eastAsiaTheme="majorEastAsia" w:hAnsiTheme="majorHAnsi" w:cstheme="majorBidi"/>
          <w:color w:val="17365D" w:themeColor="text2" w:themeShade="BF"/>
          <w:spacing w:val="5"/>
          <w:kern w:val="28"/>
          <w:sz w:val="52"/>
          <w:szCs w:val="52"/>
        </w:rPr>
        <w:t>Workstream</w:t>
      </w:r>
      <w:proofErr w:type="spellEnd"/>
      <w:r w:rsidRPr="002A2910">
        <w:rPr>
          <w:rFonts w:asciiTheme="majorHAnsi" w:eastAsiaTheme="majorEastAsia" w:hAnsiTheme="majorHAnsi" w:cstheme="majorBidi"/>
          <w:color w:val="17365D" w:themeColor="text2" w:themeShade="BF"/>
          <w:spacing w:val="5"/>
          <w:kern w:val="28"/>
          <w:sz w:val="52"/>
          <w:szCs w:val="52"/>
        </w:rPr>
        <w:t xml:space="preserve"> 1 – Decant phase </w:t>
      </w:r>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236" w:name="_Toc100070302"/>
      <w:bookmarkStart w:id="237" w:name="_Toc100307228"/>
      <w:bookmarkStart w:id="238" w:name="_Toc100307376"/>
      <w:bookmarkStart w:id="239" w:name="_Toc100318582"/>
      <w:bookmarkStart w:id="240" w:name="_Toc100320590"/>
      <w:bookmarkStart w:id="241" w:name="_Toc100341072"/>
      <w:bookmarkStart w:id="242" w:name="_Toc100569488"/>
      <w:bookmarkStart w:id="243" w:name="_Toc105493527"/>
      <w:bookmarkStart w:id="244" w:name="_Toc105665252"/>
      <w:r w:rsidRPr="002A2910">
        <w:rPr>
          <w:rFonts w:asciiTheme="majorHAnsi" w:eastAsiaTheme="majorEastAsia" w:hAnsiTheme="majorHAnsi" w:cstheme="majorBidi"/>
          <w:b/>
          <w:bCs/>
          <w:color w:val="365F91" w:themeColor="accent1" w:themeShade="BF"/>
          <w:sz w:val="28"/>
          <w:szCs w:val="28"/>
        </w:rPr>
        <w:t>Scope</w:t>
      </w:r>
      <w:bookmarkEnd w:id="236"/>
      <w:bookmarkEnd w:id="237"/>
      <w:bookmarkEnd w:id="238"/>
      <w:bookmarkEnd w:id="239"/>
      <w:bookmarkEnd w:id="240"/>
      <w:bookmarkEnd w:id="241"/>
      <w:bookmarkEnd w:id="242"/>
      <w:bookmarkEnd w:id="243"/>
      <w:bookmarkEnd w:id="244"/>
    </w:p>
    <w:p w:rsidR="002A2910" w:rsidRPr="002A2910" w:rsidRDefault="002A2910" w:rsidP="002A2910"/>
    <w:p w:rsidR="002A2910" w:rsidRPr="002A2910" w:rsidRDefault="002A2910" w:rsidP="002A2910">
      <w:pPr>
        <w:rPr>
          <w:sz w:val="22"/>
        </w:rPr>
      </w:pPr>
      <w:r w:rsidRPr="002A2910">
        <w:rPr>
          <w:sz w:val="22"/>
        </w:rPr>
        <w:t xml:space="preserve">The Pilgrim Hospital Emergency Department project is part of a programme of work to improve Urgent and Emergency Care.  It was established by the ULHT Trust Board in 2019 following approval of funding for the work.  </w:t>
      </w:r>
    </w:p>
    <w:p w:rsidR="002A2910" w:rsidRPr="002A2910" w:rsidRDefault="002A2910" w:rsidP="002A2910">
      <w:pPr>
        <w:rPr>
          <w:sz w:val="22"/>
        </w:rPr>
      </w:pPr>
    </w:p>
    <w:p w:rsidR="002A2910" w:rsidRPr="002A2910" w:rsidRDefault="002A2910" w:rsidP="002A2910">
      <w:pPr>
        <w:rPr>
          <w:sz w:val="22"/>
        </w:rPr>
      </w:pPr>
      <w:r w:rsidRPr="002A2910">
        <w:rPr>
          <w:sz w:val="22"/>
        </w:rPr>
        <w:t xml:space="preserve">To ensure progress on the project </w:t>
      </w:r>
      <w:proofErr w:type="gramStart"/>
      <w:r w:rsidRPr="002A2910">
        <w:rPr>
          <w:sz w:val="22"/>
        </w:rPr>
        <w:t>an</w:t>
      </w:r>
      <w:proofErr w:type="gramEnd"/>
      <w:r w:rsidRPr="002A2910">
        <w:rPr>
          <w:sz w:val="22"/>
        </w:rPr>
        <w:t xml:space="preserve"> SRO (the Trusts Director of Improvement and Integration) was put in place, with a supporting Oversight Group of senior leaders in CCG and partner organisations.  A project director (ULHT’s Associate Director of Strategic Projects) was asked to lead the underlying working group.  The reporting governance structure is given below:</w:t>
      </w:r>
    </w:p>
    <w:p w:rsidR="002A2910" w:rsidRPr="002A2910" w:rsidRDefault="002A2910" w:rsidP="002A2910">
      <w:pPr>
        <w:rPr>
          <w:sz w:val="22"/>
        </w:rPr>
      </w:pPr>
    </w:p>
    <w:p w:rsidR="002A2910" w:rsidRPr="002A2910" w:rsidRDefault="002A2910" w:rsidP="002A2910">
      <w:pPr>
        <w:jc w:val="center"/>
        <w:rPr>
          <w:sz w:val="22"/>
        </w:rPr>
      </w:pPr>
      <w:r w:rsidRPr="002A2910">
        <w:rPr>
          <w:noProof/>
          <w:sz w:val="22"/>
          <w:lang w:eastAsia="en-GB"/>
        </w:rPr>
        <w:drawing>
          <wp:inline distT="0" distB="0" distL="0" distR="0" wp14:anchorId="166041E1" wp14:editId="05CC20A5">
            <wp:extent cx="4737100" cy="2914015"/>
            <wp:effectExtent l="0" t="0" r="6350" b="63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37100" cy="2914015"/>
                    </a:xfrm>
                    <a:prstGeom prst="rect">
                      <a:avLst/>
                    </a:prstGeom>
                    <a:noFill/>
                  </pic:spPr>
                </pic:pic>
              </a:graphicData>
            </a:graphic>
          </wp:inline>
        </w:drawing>
      </w:r>
    </w:p>
    <w:p w:rsidR="002A2910" w:rsidRPr="002A2910" w:rsidRDefault="002A2910" w:rsidP="002A2910">
      <w:pPr>
        <w:rPr>
          <w:b/>
          <w:sz w:val="22"/>
        </w:rPr>
      </w:pPr>
    </w:p>
    <w:p w:rsidR="002A2910" w:rsidRPr="002A2910" w:rsidRDefault="002A2910" w:rsidP="002A2910">
      <w:pPr>
        <w:rPr>
          <w:sz w:val="22"/>
        </w:rPr>
      </w:pPr>
      <w:proofErr w:type="spellStart"/>
      <w:r w:rsidRPr="002A2910">
        <w:rPr>
          <w:sz w:val="22"/>
        </w:rPr>
        <w:t>Workstream</w:t>
      </w:r>
      <w:proofErr w:type="spellEnd"/>
      <w:r w:rsidRPr="002A2910">
        <w:rPr>
          <w:sz w:val="22"/>
        </w:rPr>
        <w:t xml:space="preserve"> 1 is one of five </w:t>
      </w:r>
      <w:proofErr w:type="spellStart"/>
      <w:r w:rsidRPr="002A2910">
        <w:rPr>
          <w:sz w:val="22"/>
        </w:rPr>
        <w:t>workstreams</w:t>
      </w:r>
      <w:proofErr w:type="spellEnd"/>
      <w:r w:rsidRPr="002A2910">
        <w:rPr>
          <w:sz w:val="22"/>
        </w:rPr>
        <w:t xml:space="preserve"> reporting to Pilgrim ED oversight Group with an aim   to represent all departments and system partners who have direct service requirements both clinical and non-clinical.</w:t>
      </w:r>
    </w:p>
    <w:p w:rsidR="002A2910" w:rsidRPr="002A2910" w:rsidRDefault="002A2910" w:rsidP="002A2910">
      <w:pPr>
        <w:rPr>
          <w:sz w:val="22"/>
        </w:rPr>
      </w:pPr>
    </w:p>
    <w:p w:rsidR="002A2910" w:rsidRPr="002A2910" w:rsidRDefault="002A2910" w:rsidP="002A2910">
      <w:pPr>
        <w:rPr>
          <w:sz w:val="22"/>
        </w:rPr>
      </w:pPr>
      <w:r w:rsidRPr="002A2910">
        <w:rPr>
          <w:sz w:val="22"/>
        </w:rPr>
        <w:t xml:space="preserve">The </w:t>
      </w:r>
      <w:proofErr w:type="spellStart"/>
      <w:r w:rsidRPr="002A2910">
        <w:rPr>
          <w:sz w:val="22"/>
        </w:rPr>
        <w:t>workstream</w:t>
      </w:r>
      <w:proofErr w:type="spellEnd"/>
      <w:r w:rsidRPr="002A2910">
        <w:rPr>
          <w:sz w:val="22"/>
        </w:rPr>
        <w:t xml:space="preserve"> group will have responsibility and accountability to deliver;</w:t>
      </w:r>
    </w:p>
    <w:p w:rsidR="002A2910" w:rsidRPr="002A2910" w:rsidRDefault="002A2910" w:rsidP="002A2910">
      <w:pPr>
        <w:rPr>
          <w:sz w:val="22"/>
        </w:rPr>
      </w:pPr>
    </w:p>
    <w:p w:rsidR="002A2910" w:rsidRPr="002A2910" w:rsidRDefault="002A2910" w:rsidP="00DF7F41">
      <w:pPr>
        <w:numPr>
          <w:ilvl w:val="0"/>
          <w:numId w:val="89"/>
        </w:numPr>
        <w:contextualSpacing/>
        <w:rPr>
          <w:sz w:val="22"/>
        </w:rPr>
      </w:pPr>
      <w:r w:rsidRPr="002A2910">
        <w:rPr>
          <w:sz w:val="22"/>
        </w:rPr>
        <w:t>the temporary and/or permanent relocation options for the services within the designated accommodation for the demolition and new build Emergency department;</w:t>
      </w:r>
    </w:p>
    <w:p w:rsidR="002A2910" w:rsidRPr="002A2910" w:rsidRDefault="002A2910" w:rsidP="002A2910">
      <w:pPr>
        <w:ind w:left="1080"/>
        <w:contextualSpacing/>
        <w:rPr>
          <w:sz w:val="22"/>
        </w:rPr>
      </w:pPr>
    </w:p>
    <w:p w:rsidR="002A2910" w:rsidRPr="002A2910" w:rsidRDefault="002A2910" w:rsidP="00DF7F41">
      <w:pPr>
        <w:numPr>
          <w:ilvl w:val="0"/>
          <w:numId w:val="89"/>
        </w:numPr>
        <w:contextualSpacing/>
      </w:pPr>
      <w:r w:rsidRPr="002A2910">
        <w:lastRenderedPageBreak/>
        <w:t xml:space="preserve">alignment of decisions regarding utilisation of accommodation to the Trust’s clinical strategy and </w:t>
      </w:r>
      <w:proofErr w:type="spellStart"/>
      <w:r w:rsidRPr="002A2910">
        <w:t>Covid</w:t>
      </w:r>
      <w:proofErr w:type="spellEnd"/>
      <w:r w:rsidRPr="002A2910">
        <w:t xml:space="preserve"> 19 related plans;</w:t>
      </w:r>
    </w:p>
    <w:p w:rsidR="002A2910" w:rsidRPr="002A2910" w:rsidRDefault="002A2910" w:rsidP="002A2910">
      <w:pPr>
        <w:ind w:left="1080"/>
        <w:contextualSpacing/>
      </w:pPr>
    </w:p>
    <w:p w:rsidR="002A2910" w:rsidRPr="002A2910" w:rsidRDefault="002A2910" w:rsidP="00DF7F41">
      <w:pPr>
        <w:numPr>
          <w:ilvl w:val="0"/>
          <w:numId w:val="89"/>
        </w:numPr>
        <w:contextualSpacing/>
      </w:pPr>
      <w:r w:rsidRPr="002A2910">
        <w:t>(Recovery) Coordination and oversight of plans regarding estates and accommodation developments on the Pilgrim sites;</w:t>
      </w:r>
    </w:p>
    <w:p w:rsidR="002A2910" w:rsidRPr="002A2910" w:rsidRDefault="002A2910" w:rsidP="002A2910">
      <w:pPr>
        <w:ind w:left="1080"/>
        <w:contextualSpacing/>
      </w:pPr>
    </w:p>
    <w:p w:rsidR="002A2910" w:rsidRPr="002A2910" w:rsidRDefault="002A2910" w:rsidP="00DF7F41">
      <w:pPr>
        <w:numPr>
          <w:ilvl w:val="0"/>
          <w:numId w:val="89"/>
        </w:numPr>
        <w:contextualSpacing/>
      </w:pPr>
      <w:r w:rsidRPr="002A2910">
        <w:t>Co-ordination and communication to all staff and system partners.</w:t>
      </w:r>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245" w:name="_Toc100070303"/>
      <w:bookmarkStart w:id="246" w:name="_Toc100307229"/>
      <w:bookmarkStart w:id="247" w:name="_Toc100307377"/>
      <w:bookmarkStart w:id="248" w:name="_Toc100318583"/>
      <w:bookmarkStart w:id="249" w:name="_Toc100320591"/>
      <w:bookmarkStart w:id="250" w:name="_Toc100341073"/>
      <w:bookmarkStart w:id="251" w:name="_Toc100569489"/>
      <w:bookmarkStart w:id="252" w:name="_Toc105493528"/>
      <w:bookmarkStart w:id="253" w:name="_Toc105665253"/>
      <w:r w:rsidRPr="002A2910">
        <w:rPr>
          <w:rFonts w:asciiTheme="majorHAnsi" w:eastAsiaTheme="majorEastAsia" w:hAnsiTheme="majorHAnsi" w:cstheme="majorBidi"/>
          <w:b/>
          <w:bCs/>
          <w:color w:val="365F91" w:themeColor="accent1" w:themeShade="BF"/>
          <w:sz w:val="28"/>
          <w:szCs w:val="28"/>
        </w:rPr>
        <w:t>Purpose</w:t>
      </w:r>
      <w:bookmarkEnd w:id="245"/>
      <w:bookmarkEnd w:id="246"/>
      <w:bookmarkEnd w:id="247"/>
      <w:bookmarkEnd w:id="248"/>
      <w:bookmarkEnd w:id="249"/>
      <w:bookmarkEnd w:id="250"/>
      <w:bookmarkEnd w:id="251"/>
      <w:bookmarkEnd w:id="252"/>
      <w:bookmarkEnd w:id="253"/>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254" w:name="_Toc100070304"/>
      <w:bookmarkStart w:id="255" w:name="_Toc100307230"/>
      <w:bookmarkStart w:id="256" w:name="_Toc100307378"/>
      <w:bookmarkStart w:id="257" w:name="_Toc100318584"/>
      <w:bookmarkStart w:id="258" w:name="_Toc100320592"/>
      <w:bookmarkStart w:id="259" w:name="_Toc100341074"/>
      <w:bookmarkStart w:id="260" w:name="_Toc100569490"/>
      <w:bookmarkStart w:id="261" w:name="_Toc105493529"/>
      <w:bookmarkStart w:id="262" w:name="_Toc105665254"/>
      <w:r w:rsidRPr="002A2910">
        <w:rPr>
          <w:rFonts w:asciiTheme="majorHAnsi" w:eastAsiaTheme="majorEastAsia" w:hAnsiTheme="majorHAnsi" w:cstheme="majorBidi"/>
          <w:b/>
          <w:bCs/>
          <w:color w:val="365F91" w:themeColor="accent1" w:themeShade="BF"/>
          <w:sz w:val="28"/>
          <w:szCs w:val="28"/>
        </w:rPr>
        <w:t>Work Stream 1</w:t>
      </w:r>
      <w:bookmarkEnd w:id="254"/>
      <w:bookmarkEnd w:id="255"/>
      <w:bookmarkEnd w:id="256"/>
      <w:bookmarkEnd w:id="257"/>
      <w:bookmarkEnd w:id="258"/>
      <w:bookmarkEnd w:id="259"/>
      <w:bookmarkEnd w:id="260"/>
      <w:bookmarkEnd w:id="261"/>
      <w:bookmarkEnd w:id="262"/>
      <w:r w:rsidRPr="002A2910">
        <w:rPr>
          <w:rFonts w:asciiTheme="majorHAnsi" w:eastAsiaTheme="majorEastAsia" w:hAnsiTheme="majorHAnsi" w:cstheme="majorBidi"/>
          <w:b/>
          <w:bCs/>
          <w:color w:val="365F91" w:themeColor="accent1" w:themeShade="BF"/>
          <w:sz w:val="28"/>
          <w:szCs w:val="28"/>
        </w:rPr>
        <w:t xml:space="preserve"> </w:t>
      </w:r>
    </w:p>
    <w:p w:rsidR="002A2910" w:rsidRPr="002A2910" w:rsidRDefault="002A2910" w:rsidP="002A2910">
      <w:pPr>
        <w:ind w:left="720" w:hanging="720"/>
      </w:pPr>
    </w:p>
    <w:p w:rsidR="002A2910" w:rsidRPr="002A2910" w:rsidRDefault="002A2910" w:rsidP="00DF7F41">
      <w:pPr>
        <w:numPr>
          <w:ilvl w:val="0"/>
          <w:numId w:val="88"/>
        </w:numPr>
        <w:contextualSpacing/>
        <w:rPr>
          <w:sz w:val="22"/>
        </w:rPr>
      </w:pPr>
      <w:r w:rsidRPr="002A2910">
        <w:rPr>
          <w:sz w:val="22"/>
        </w:rPr>
        <w:t>Develop and design options for consideration to meet the needs of space/maintaining of service 24/7 and patient welfare to vacant the designated accommodation for demolition and the new build ED;</w:t>
      </w:r>
    </w:p>
    <w:p w:rsidR="002A2910" w:rsidRPr="002A2910" w:rsidRDefault="002A2910" w:rsidP="002A2910">
      <w:pPr>
        <w:ind w:left="720"/>
        <w:contextualSpacing/>
        <w:rPr>
          <w:sz w:val="22"/>
        </w:rPr>
      </w:pPr>
    </w:p>
    <w:p w:rsidR="002A2910" w:rsidRPr="002A2910" w:rsidRDefault="002A2910" w:rsidP="00DF7F41">
      <w:pPr>
        <w:numPr>
          <w:ilvl w:val="0"/>
          <w:numId w:val="88"/>
        </w:numPr>
        <w:contextualSpacing/>
        <w:rPr>
          <w:sz w:val="22"/>
        </w:rPr>
      </w:pPr>
      <w:r w:rsidRPr="002A2910">
        <w:rPr>
          <w:sz w:val="22"/>
        </w:rPr>
        <w:t>Working with system partners LCHS and EMAS on the temporary location of the current Urgent Treatment Centre ensuring continuous 24/7 service connected to the existing Emergency Department until the completion of the project;</w:t>
      </w:r>
    </w:p>
    <w:p w:rsidR="002A2910" w:rsidRPr="002A2910" w:rsidRDefault="002A2910" w:rsidP="002A2910">
      <w:pPr>
        <w:ind w:left="720"/>
        <w:contextualSpacing/>
        <w:rPr>
          <w:sz w:val="22"/>
        </w:rPr>
      </w:pPr>
    </w:p>
    <w:p w:rsidR="002A2910" w:rsidRPr="002A2910" w:rsidRDefault="002A2910" w:rsidP="00DF7F41">
      <w:pPr>
        <w:numPr>
          <w:ilvl w:val="0"/>
          <w:numId w:val="88"/>
        </w:numPr>
        <w:contextualSpacing/>
        <w:rPr>
          <w:sz w:val="22"/>
        </w:rPr>
      </w:pPr>
      <w:r w:rsidRPr="002A2910">
        <w:rPr>
          <w:sz w:val="22"/>
        </w:rPr>
        <w:t>Review of all current services in the designated area and provide options to Oversight Group via the Project Working Group.</w:t>
      </w:r>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263" w:name="_Toc100070305"/>
      <w:bookmarkStart w:id="264" w:name="_Toc100307231"/>
      <w:bookmarkStart w:id="265" w:name="_Toc100307379"/>
      <w:bookmarkStart w:id="266" w:name="_Toc100318585"/>
      <w:bookmarkStart w:id="267" w:name="_Toc100320593"/>
      <w:bookmarkStart w:id="268" w:name="_Toc100341075"/>
      <w:bookmarkStart w:id="269" w:name="_Toc100569491"/>
      <w:bookmarkStart w:id="270" w:name="_Toc105493530"/>
      <w:bookmarkStart w:id="271" w:name="_Toc105665255"/>
      <w:r w:rsidRPr="002A2910">
        <w:rPr>
          <w:rFonts w:asciiTheme="majorHAnsi" w:eastAsiaTheme="majorEastAsia" w:hAnsiTheme="majorHAnsi" w:cstheme="majorBidi"/>
          <w:b/>
          <w:bCs/>
          <w:color w:val="365F91" w:themeColor="accent1" w:themeShade="BF"/>
          <w:sz w:val="28"/>
          <w:szCs w:val="28"/>
        </w:rPr>
        <w:t>Membership</w:t>
      </w:r>
      <w:bookmarkEnd w:id="263"/>
      <w:bookmarkEnd w:id="264"/>
      <w:bookmarkEnd w:id="265"/>
      <w:bookmarkEnd w:id="266"/>
      <w:bookmarkEnd w:id="267"/>
      <w:bookmarkEnd w:id="268"/>
      <w:bookmarkEnd w:id="269"/>
      <w:bookmarkEnd w:id="270"/>
      <w:bookmarkEnd w:id="271"/>
    </w:p>
    <w:p w:rsidR="002A2910" w:rsidRPr="002A2910" w:rsidRDefault="002A2910" w:rsidP="002A2910"/>
    <w:tbl>
      <w:tblPr>
        <w:tblW w:w="6700" w:type="dxa"/>
        <w:tblCellMar>
          <w:left w:w="0" w:type="dxa"/>
          <w:right w:w="0" w:type="dxa"/>
        </w:tblCellMar>
        <w:tblLook w:val="04A0" w:firstRow="1" w:lastRow="0" w:firstColumn="1" w:lastColumn="0" w:noHBand="0" w:noVBand="1"/>
      </w:tblPr>
      <w:tblGrid>
        <w:gridCol w:w="4780"/>
        <w:gridCol w:w="1794"/>
        <w:gridCol w:w="126"/>
      </w:tblGrid>
      <w:tr w:rsidR="004F798E" w:rsidRPr="002A2910" w:rsidTr="004F798E">
        <w:trPr>
          <w:trHeight w:val="310"/>
        </w:trPr>
        <w:tc>
          <w:tcPr>
            <w:tcW w:w="4780"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b/>
                <w:bCs/>
                <w:color w:val="000000"/>
              </w:rPr>
            </w:pPr>
            <w:r w:rsidRPr="002A2910">
              <w:rPr>
                <w:rFonts w:cs="Arial"/>
                <w:b/>
                <w:bCs/>
                <w:color w:val="000000"/>
              </w:rPr>
              <w:t>Position</w:t>
            </w:r>
          </w:p>
        </w:tc>
        <w:tc>
          <w:tcPr>
            <w:tcW w:w="1920" w:type="dxa"/>
            <w:gridSpan w:val="2"/>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b/>
                <w:bCs/>
                <w:color w:val="000000"/>
              </w:rPr>
            </w:pPr>
            <w:r w:rsidRPr="002A2910">
              <w:rPr>
                <w:rFonts w:cs="Arial"/>
                <w:b/>
                <w:bCs/>
                <w:color w:val="000000"/>
              </w:rPr>
              <w:t>Organisation</w:t>
            </w:r>
          </w:p>
        </w:tc>
      </w:tr>
      <w:tr w:rsidR="004F798E" w:rsidRPr="002A2910" w:rsidTr="004F798E">
        <w:trPr>
          <w:trHeight w:val="290"/>
        </w:trPr>
        <w:tc>
          <w:tcPr>
            <w:tcW w:w="0" w:type="auto"/>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MD CSS – </w:t>
            </w:r>
            <w:proofErr w:type="spellStart"/>
            <w:r w:rsidRPr="002A2910">
              <w:rPr>
                <w:rFonts w:cs="Arial"/>
                <w:color w:val="000000"/>
                <w:sz w:val="18"/>
                <w:szCs w:val="18"/>
              </w:rPr>
              <w:t>Workstream</w:t>
            </w:r>
            <w:proofErr w:type="spellEnd"/>
            <w:r w:rsidRPr="002A2910">
              <w:rPr>
                <w:rFonts w:cs="Arial"/>
                <w:color w:val="000000"/>
                <w:sz w:val="18"/>
                <w:szCs w:val="18"/>
              </w:rPr>
              <w:t xml:space="preserve">  SRO</w:t>
            </w:r>
          </w:p>
        </w:tc>
        <w:tc>
          <w:tcPr>
            <w:tcW w:w="0" w:type="auto"/>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Project Director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0" w:type="auto"/>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Strategic Advisor </w:t>
            </w:r>
          </w:p>
        </w:tc>
        <w:tc>
          <w:tcPr>
            <w:tcW w:w="0" w:type="auto"/>
            <w:gridSpan w:val="2"/>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Consultant </w:t>
            </w:r>
          </w:p>
        </w:tc>
      </w:tr>
      <w:tr w:rsidR="004F798E" w:rsidRPr="002A2910" w:rsidTr="004F798E">
        <w:trPr>
          <w:trHeight w:val="290"/>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Procurement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0" w:type="auto"/>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Lead Matron – Outpatients </w:t>
            </w:r>
          </w:p>
        </w:tc>
        <w:tc>
          <w:tcPr>
            <w:tcW w:w="0" w:type="auto"/>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0" w:type="auto"/>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LCHS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LCHS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ULHT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ULHT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0" w:type="auto"/>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Lead Manager </w:t>
            </w:r>
          </w:p>
        </w:tc>
        <w:tc>
          <w:tcPr>
            <w:tcW w:w="0" w:type="auto"/>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0" w:type="auto"/>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ULHT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0" w:type="auto"/>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0" w:type="auto"/>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ULHT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Fred Royales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Wayne McIntosh </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0" w:type="auto"/>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Communications Officer</w:t>
            </w:r>
          </w:p>
        </w:tc>
        <w:tc>
          <w:tcPr>
            <w:tcW w:w="0" w:type="auto"/>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bl>
    <w:p w:rsidR="002A2910" w:rsidRPr="002A2910" w:rsidRDefault="002A2910" w:rsidP="002A2910">
      <w:pPr>
        <w:rPr>
          <w:sz w:val="22"/>
        </w:rPr>
      </w:pPr>
      <w:r w:rsidRPr="002A2910" w:rsidDel="00D41AB7">
        <w:rPr>
          <w:sz w:val="22"/>
        </w:rPr>
        <w:t xml:space="preserve"> </w:t>
      </w:r>
    </w:p>
    <w:p w:rsidR="002A2910" w:rsidRPr="002A2910" w:rsidRDefault="002A2910" w:rsidP="002A2910">
      <w:pPr>
        <w:rPr>
          <w:sz w:val="22"/>
        </w:rPr>
      </w:pPr>
      <w:r w:rsidRPr="002A2910">
        <w:rPr>
          <w:sz w:val="22"/>
        </w:rPr>
        <w:lastRenderedPageBreak/>
        <w:t xml:space="preserve">It is expected that members attend and when unable they will send a fully briefed deputy, who will be responsible for the communication within their respective division/Department. </w:t>
      </w:r>
    </w:p>
    <w:p w:rsidR="002A2910" w:rsidRPr="002A2910" w:rsidRDefault="002A2910" w:rsidP="002A2910">
      <w:pPr>
        <w:rPr>
          <w:sz w:val="22"/>
        </w:rPr>
      </w:pPr>
    </w:p>
    <w:p w:rsidR="002A2910" w:rsidRPr="002A2910" w:rsidRDefault="002A2910" w:rsidP="002A2910">
      <w:pPr>
        <w:rPr>
          <w:sz w:val="22"/>
        </w:rPr>
      </w:pPr>
      <w:r w:rsidRPr="002A2910">
        <w:rPr>
          <w:sz w:val="22"/>
        </w:rPr>
        <w:t>The group will be expected to grow/reduce as decided by the SRO dependent on priority of proposals.</w:t>
      </w:r>
    </w:p>
    <w:p w:rsidR="002A2910" w:rsidRPr="002A2910" w:rsidRDefault="002A2910" w:rsidP="002A2910">
      <w:pPr>
        <w:rPr>
          <w:sz w:val="22"/>
        </w:rPr>
      </w:pPr>
    </w:p>
    <w:p w:rsidR="002A2910" w:rsidRPr="002A2910" w:rsidRDefault="002A2910" w:rsidP="002A2910">
      <w:pPr>
        <w:rPr>
          <w:sz w:val="22"/>
        </w:rPr>
      </w:pPr>
      <w:r w:rsidRPr="002A2910">
        <w:rPr>
          <w:sz w:val="22"/>
        </w:rPr>
        <w:t>It is the responsibility and kindly requested of each of the attendees to provide regular updates to their respective internal departments and staff colleagues and all general communication to be agreed by Communication department.</w:t>
      </w:r>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272" w:name="_Toc100070306"/>
      <w:bookmarkStart w:id="273" w:name="_Toc100307232"/>
      <w:bookmarkStart w:id="274" w:name="_Toc100307380"/>
      <w:bookmarkStart w:id="275" w:name="_Toc100318586"/>
      <w:bookmarkStart w:id="276" w:name="_Toc100320594"/>
      <w:bookmarkStart w:id="277" w:name="_Toc100341076"/>
      <w:bookmarkStart w:id="278" w:name="_Toc100569492"/>
      <w:bookmarkStart w:id="279" w:name="_Toc105493531"/>
      <w:bookmarkStart w:id="280" w:name="_Toc105665256"/>
      <w:r w:rsidRPr="002A2910">
        <w:rPr>
          <w:rFonts w:asciiTheme="majorHAnsi" w:eastAsiaTheme="majorEastAsia" w:hAnsiTheme="majorHAnsi" w:cstheme="majorBidi"/>
          <w:b/>
          <w:bCs/>
          <w:color w:val="365F91" w:themeColor="accent1" w:themeShade="BF"/>
          <w:sz w:val="28"/>
          <w:szCs w:val="28"/>
        </w:rPr>
        <w:t>Quorate</w:t>
      </w:r>
      <w:bookmarkEnd w:id="272"/>
      <w:bookmarkEnd w:id="273"/>
      <w:bookmarkEnd w:id="274"/>
      <w:bookmarkEnd w:id="275"/>
      <w:bookmarkEnd w:id="276"/>
      <w:bookmarkEnd w:id="277"/>
      <w:bookmarkEnd w:id="278"/>
      <w:bookmarkEnd w:id="279"/>
      <w:bookmarkEnd w:id="280"/>
    </w:p>
    <w:p w:rsidR="002A2910" w:rsidRPr="002A2910" w:rsidRDefault="002A2910" w:rsidP="002A2910">
      <w:pPr>
        <w:rPr>
          <w:sz w:val="22"/>
        </w:rPr>
      </w:pPr>
    </w:p>
    <w:p w:rsidR="002A2910" w:rsidRPr="002A2910" w:rsidRDefault="002A2910" w:rsidP="002A2910">
      <w:pPr>
        <w:rPr>
          <w:sz w:val="22"/>
        </w:rPr>
      </w:pPr>
      <w:r w:rsidRPr="002A2910">
        <w:rPr>
          <w:sz w:val="22"/>
        </w:rPr>
        <w:t xml:space="preserve">Meetings will be considered quorate as a minimum the chair, or representative, nursing and estates.  </w:t>
      </w:r>
    </w:p>
    <w:p w:rsidR="002A2910" w:rsidRPr="002A2910" w:rsidRDefault="002A2910" w:rsidP="002A2910">
      <w:pPr>
        <w:rPr>
          <w:sz w:val="22"/>
        </w:rPr>
      </w:pPr>
    </w:p>
    <w:p w:rsidR="002A2910" w:rsidRPr="002A2910" w:rsidRDefault="002A2910" w:rsidP="002A2910">
      <w:pPr>
        <w:rPr>
          <w:sz w:val="22"/>
        </w:rPr>
      </w:pPr>
      <w:r w:rsidRPr="002A2910">
        <w:rPr>
          <w:sz w:val="22"/>
        </w:rPr>
        <w:t xml:space="preserve">The </w:t>
      </w:r>
      <w:proofErr w:type="spellStart"/>
      <w:r w:rsidRPr="002A2910">
        <w:rPr>
          <w:sz w:val="22"/>
        </w:rPr>
        <w:t>workstream</w:t>
      </w:r>
      <w:proofErr w:type="spellEnd"/>
      <w:r w:rsidRPr="002A2910">
        <w:rPr>
          <w:sz w:val="22"/>
        </w:rPr>
        <w:t xml:space="preserve"> reports into this Group for discussion/awareness/sign off. Monthly reports will be submitted to Trust Board and regular updates to </w:t>
      </w:r>
      <w:proofErr w:type="gramStart"/>
      <w:r w:rsidRPr="002A2910">
        <w:rPr>
          <w:sz w:val="22"/>
        </w:rPr>
        <w:t>NHSE/I</w:t>
      </w:r>
      <w:proofErr w:type="gramEnd"/>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281" w:name="_Toc100070307"/>
      <w:bookmarkStart w:id="282" w:name="_Toc100307233"/>
      <w:bookmarkStart w:id="283" w:name="_Toc100307381"/>
      <w:bookmarkStart w:id="284" w:name="_Toc100318587"/>
      <w:bookmarkStart w:id="285" w:name="_Toc100320595"/>
      <w:bookmarkStart w:id="286" w:name="_Toc100341077"/>
      <w:bookmarkStart w:id="287" w:name="_Toc100569493"/>
      <w:bookmarkStart w:id="288" w:name="_Toc105493532"/>
      <w:bookmarkStart w:id="289" w:name="_Toc105665257"/>
      <w:r w:rsidRPr="002A2910">
        <w:rPr>
          <w:rFonts w:asciiTheme="majorHAnsi" w:eastAsiaTheme="majorEastAsia" w:hAnsiTheme="majorHAnsi" w:cstheme="majorBidi"/>
          <w:b/>
          <w:bCs/>
          <w:color w:val="365F91" w:themeColor="accent1" w:themeShade="BF"/>
          <w:sz w:val="28"/>
          <w:szCs w:val="28"/>
        </w:rPr>
        <w:t>Frequency</w:t>
      </w:r>
      <w:bookmarkEnd w:id="281"/>
      <w:bookmarkEnd w:id="282"/>
      <w:bookmarkEnd w:id="283"/>
      <w:bookmarkEnd w:id="284"/>
      <w:bookmarkEnd w:id="285"/>
      <w:bookmarkEnd w:id="286"/>
      <w:bookmarkEnd w:id="287"/>
      <w:bookmarkEnd w:id="288"/>
      <w:bookmarkEnd w:id="289"/>
    </w:p>
    <w:p w:rsidR="002A2910" w:rsidRPr="002A2910" w:rsidRDefault="002A2910" w:rsidP="002A2910"/>
    <w:p w:rsidR="002A2910" w:rsidRPr="002A2910" w:rsidRDefault="002A2910" w:rsidP="002A2910">
      <w:pPr>
        <w:rPr>
          <w:sz w:val="22"/>
        </w:rPr>
      </w:pPr>
      <w:r w:rsidRPr="002A2910">
        <w:rPr>
          <w:sz w:val="22"/>
        </w:rPr>
        <w:t>The meeting will meet fortnightly. Use of Microsoft teams will be available to all sites.</w:t>
      </w:r>
    </w:p>
    <w:p w:rsidR="002A2910" w:rsidRPr="002A2910" w:rsidRDefault="002A2910" w:rsidP="002A2910">
      <w:pPr>
        <w:rPr>
          <w:sz w:val="22"/>
        </w:rPr>
      </w:pPr>
    </w:p>
    <w:p w:rsidR="002A2910" w:rsidRPr="002A2910" w:rsidRDefault="002A2910" w:rsidP="002A2910">
      <w:pPr>
        <w:rPr>
          <w:sz w:val="22"/>
        </w:rPr>
      </w:pPr>
    </w:p>
    <w:p w:rsidR="002A2910" w:rsidRPr="002A2910" w:rsidRDefault="002A2910" w:rsidP="002A2910">
      <w:pPr>
        <w:autoSpaceDE w:val="0"/>
        <w:autoSpaceDN w:val="0"/>
        <w:adjustRightInd w:val="0"/>
        <w:jc w:val="both"/>
        <w:rPr>
          <w:rFonts w:ascii="Calibri" w:eastAsia="Times New Roman" w:hAnsi="Calibri" w:cs="Calibri"/>
          <w:color w:val="000000"/>
          <w:szCs w:val="24"/>
          <w:lang w:eastAsia="en-GB"/>
        </w:rPr>
      </w:pPr>
    </w:p>
    <w:p w:rsidR="002A2910" w:rsidRPr="002A2910" w:rsidRDefault="001F5319" w:rsidP="002A2910">
      <w:pPr>
        <w:pBdr>
          <w:bottom w:val="single" w:sz="6" w:space="1" w:color="auto"/>
        </w:pBdr>
      </w:pPr>
      <w:r>
        <w:rPr>
          <w:lang w:eastAsia="en-GB"/>
        </w:rPr>
        <w:br w:type="page"/>
      </w:r>
    </w:p>
    <w:p w:rsidR="002A2910" w:rsidRPr="002A2910" w:rsidRDefault="002A2910" w:rsidP="002A2910"/>
    <w:p w:rsidR="002A2910" w:rsidRPr="002A2910" w:rsidRDefault="002A2910" w:rsidP="002A2910">
      <w:pPr>
        <w:jc w:val="center"/>
        <w:rPr>
          <w:b/>
          <w:sz w:val="36"/>
        </w:rPr>
      </w:pPr>
      <w:r w:rsidRPr="002A2910">
        <w:rPr>
          <w:b/>
          <w:sz w:val="36"/>
        </w:rPr>
        <w:t>Terms of Reference</w:t>
      </w:r>
    </w:p>
    <w:p w:rsidR="002A2910" w:rsidRPr="002A2910" w:rsidRDefault="002A2910" w:rsidP="002A2910">
      <w:pPr>
        <w:jc w:val="center"/>
        <w:rPr>
          <w:sz w:val="36"/>
        </w:rPr>
      </w:pPr>
    </w:p>
    <w:p w:rsidR="002A2910" w:rsidRPr="002A2910" w:rsidRDefault="002A2910" w:rsidP="002A2910">
      <w:pPr>
        <w:pBdr>
          <w:bottom w:val="single" w:sz="8" w:space="4" w:color="4F81BD" w:themeColor="accent1"/>
        </w:pBdr>
        <w:spacing w:after="300"/>
        <w:contextualSpacing/>
        <w:jc w:val="center"/>
        <w:rPr>
          <w:rFonts w:asciiTheme="majorHAnsi" w:eastAsiaTheme="majorEastAsia" w:hAnsiTheme="majorHAnsi" w:cstheme="majorBidi"/>
          <w:color w:val="17365D" w:themeColor="text2" w:themeShade="BF"/>
          <w:spacing w:val="5"/>
          <w:kern w:val="28"/>
          <w:sz w:val="52"/>
          <w:szCs w:val="52"/>
        </w:rPr>
      </w:pPr>
      <w:r w:rsidRPr="002A2910">
        <w:rPr>
          <w:rFonts w:asciiTheme="majorHAnsi" w:eastAsiaTheme="majorEastAsia" w:hAnsiTheme="majorHAnsi" w:cstheme="majorBidi"/>
          <w:color w:val="17365D" w:themeColor="text2" w:themeShade="BF"/>
          <w:spacing w:val="5"/>
          <w:kern w:val="28"/>
          <w:sz w:val="52"/>
          <w:szCs w:val="52"/>
        </w:rPr>
        <w:t xml:space="preserve">The Pilgrim ED oversight group – </w:t>
      </w:r>
      <w:proofErr w:type="spellStart"/>
      <w:r w:rsidRPr="002A2910">
        <w:rPr>
          <w:rFonts w:asciiTheme="majorHAnsi" w:eastAsiaTheme="majorEastAsia" w:hAnsiTheme="majorHAnsi" w:cstheme="majorBidi"/>
          <w:color w:val="17365D" w:themeColor="text2" w:themeShade="BF"/>
          <w:spacing w:val="5"/>
          <w:kern w:val="28"/>
          <w:sz w:val="52"/>
          <w:szCs w:val="52"/>
        </w:rPr>
        <w:t>Workstream</w:t>
      </w:r>
      <w:proofErr w:type="spellEnd"/>
      <w:r w:rsidRPr="002A2910">
        <w:rPr>
          <w:rFonts w:asciiTheme="majorHAnsi" w:eastAsiaTheme="majorEastAsia" w:hAnsiTheme="majorHAnsi" w:cstheme="majorBidi"/>
          <w:color w:val="17365D" w:themeColor="text2" w:themeShade="BF"/>
          <w:spacing w:val="5"/>
          <w:kern w:val="28"/>
          <w:sz w:val="52"/>
          <w:szCs w:val="52"/>
        </w:rPr>
        <w:t xml:space="preserve"> 2 – Review of proposed Design &amp; Options appraisal</w:t>
      </w:r>
    </w:p>
    <w:p w:rsidR="002A2910" w:rsidRPr="002A2910" w:rsidRDefault="002A2910" w:rsidP="002A2910">
      <w:pPr>
        <w:keepNext/>
        <w:keepLines/>
        <w:spacing w:before="480"/>
        <w:outlineLvl w:val="0"/>
        <w:rPr>
          <w:rFonts w:asciiTheme="majorHAnsi" w:eastAsiaTheme="majorEastAsia" w:hAnsiTheme="majorHAnsi" w:cstheme="majorBidi"/>
          <w:b/>
          <w:bCs/>
          <w:sz w:val="22"/>
        </w:rPr>
      </w:pPr>
      <w:bookmarkStart w:id="290" w:name="_Toc100070308"/>
      <w:bookmarkStart w:id="291" w:name="_Toc100307234"/>
      <w:bookmarkStart w:id="292" w:name="_Toc100307382"/>
      <w:bookmarkStart w:id="293" w:name="_Toc100318588"/>
      <w:bookmarkStart w:id="294" w:name="_Toc100320596"/>
      <w:bookmarkStart w:id="295" w:name="_Toc100341078"/>
      <w:bookmarkStart w:id="296" w:name="_Toc100569494"/>
      <w:bookmarkStart w:id="297" w:name="_Toc105493533"/>
      <w:bookmarkStart w:id="298" w:name="_Toc105665258"/>
      <w:r w:rsidRPr="002A2910">
        <w:rPr>
          <w:rFonts w:asciiTheme="majorHAnsi" w:eastAsiaTheme="majorEastAsia" w:hAnsiTheme="majorHAnsi" w:cstheme="majorBidi"/>
          <w:b/>
          <w:bCs/>
          <w:sz w:val="22"/>
        </w:rPr>
        <w:t>Scope</w:t>
      </w:r>
      <w:bookmarkEnd w:id="290"/>
      <w:bookmarkEnd w:id="291"/>
      <w:bookmarkEnd w:id="292"/>
      <w:bookmarkEnd w:id="293"/>
      <w:bookmarkEnd w:id="294"/>
      <w:bookmarkEnd w:id="295"/>
      <w:bookmarkEnd w:id="296"/>
      <w:bookmarkEnd w:id="297"/>
      <w:bookmarkEnd w:id="298"/>
    </w:p>
    <w:p w:rsidR="002A2910" w:rsidRPr="002A2910" w:rsidRDefault="002A2910" w:rsidP="002A2910">
      <w:pPr>
        <w:rPr>
          <w:b/>
          <w:sz w:val="22"/>
        </w:rPr>
      </w:pPr>
    </w:p>
    <w:p w:rsidR="002A2910" w:rsidRPr="002A2910" w:rsidRDefault="002A2910" w:rsidP="002A2910">
      <w:pPr>
        <w:rPr>
          <w:sz w:val="22"/>
        </w:rPr>
      </w:pPr>
      <w:r w:rsidRPr="002A2910">
        <w:rPr>
          <w:sz w:val="22"/>
        </w:rPr>
        <w:t xml:space="preserve">The Pilgrim Hospital Emergency Department project is part of a programme of work to improve Urgent and Emergency Care.  It was established by the ULHT Trust Board in 2019 following approval of funding for the work.  </w:t>
      </w:r>
    </w:p>
    <w:p w:rsidR="002A2910" w:rsidRPr="002A2910" w:rsidRDefault="002A2910" w:rsidP="002A2910">
      <w:pPr>
        <w:rPr>
          <w:sz w:val="22"/>
        </w:rPr>
      </w:pPr>
    </w:p>
    <w:p w:rsidR="002A2910" w:rsidRPr="002A2910" w:rsidRDefault="002A2910" w:rsidP="002A2910">
      <w:pPr>
        <w:rPr>
          <w:sz w:val="22"/>
        </w:rPr>
      </w:pPr>
      <w:r w:rsidRPr="002A2910">
        <w:rPr>
          <w:sz w:val="22"/>
        </w:rPr>
        <w:t xml:space="preserve">To ensure progress on the project </w:t>
      </w:r>
      <w:proofErr w:type="gramStart"/>
      <w:r w:rsidRPr="002A2910">
        <w:rPr>
          <w:sz w:val="22"/>
        </w:rPr>
        <w:t>an</w:t>
      </w:r>
      <w:proofErr w:type="gramEnd"/>
      <w:r w:rsidRPr="002A2910">
        <w:rPr>
          <w:sz w:val="22"/>
        </w:rPr>
        <w:t xml:space="preserve"> SRO (the Trusts Director of Improvement and Integration) was put in place, with a supporting Oversight Group of senior leaders in CCG and partner organisations.  A project director (ULHT’s Associate Director of Strategic Projects) was asked to lead the underlying working group.  The reporting governance structure is given below:</w:t>
      </w:r>
    </w:p>
    <w:p w:rsidR="002A2910" w:rsidRPr="002A2910" w:rsidRDefault="002A2910" w:rsidP="002A2910">
      <w:pPr>
        <w:rPr>
          <w:sz w:val="22"/>
        </w:rPr>
      </w:pPr>
    </w:p>
    <w:p w:rsidR="002A2910" w:rsidRPr="002A2910" w:rsidRDefault="002A2910" w:rsidP="002A2910">
      <w:pPr>
        <w:jc w:val="center"/>
        <w:rPr>
          <w:sz w:val="22"/>
        </w:rPr>
      </w:pPr>
      <w:r w:rsidRPr="002A2910">
        <w:rPr>
          <w:noProof/>
          <w:sz w:val="22"/>
          <w:lang w:eastAsia="en-GB"/>
        </w:rPr>
        <w:drawing>
          <wp:inline distT="0" distB="0" distL="0" distR="0" wp14:anchorId="751E47D0" wp14:editId="25B5F2B8">
            <wp:extent cx="4737100" cy="2914015"/>
            <wp:effectExtent l="0" t="0" r="6350" b="63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37100" cy="2914015"/>
                    </a:xfrm>
                    <a:prstGeom prst="rect">
                      <a:avLst/>
                    </a:prstGeom>
                    <a:noFill/>
                  </pic:spPr>
                </pic:pic>
              </a:graphicData>
            </a:graphic>
          </wp:inline>
        </w:drawing>
      </w:r>
    </w:p>
    <w:p w:rsidR="002A2910" w:rsidRPr="002A2910" w:rsidRDefault="002A2910" w:rsidP="002A2910">
      <w:pPr>
        <w:rPr>
          <w:sz w:val="22"/>
        </w:rPr>
      </w:pPr>
    </w:p>
    <w:p w:rsidR="002A2910" w:rsidRPr="002A2910" w:rsidRDefault="002A2910" w:rsidP="002A2910">
      <w:pPr>
        <w:rPr>
          <w:sz w:val="22"/>
        </w:rPr>
      </w:pPr>
      <w:proofErr w:type="spellStart"/>
      <w:r w:rsidRPr="002A2910">
        <w:rPr>
          <w:sz w:val="22"/>
        </w:rPr>
        <w:t>Workstream</w:t>
      </w:r>
      <w:proofErr w:type="spellEnd"/>
      <w:r w:rsidRPr="002A2910">
        <w:rPr>
          <w:sz w:val="22"/>
        </w:rPr>
        <w:t xml:space="preserve"> 2 is one of the five Pre-mobilisation work streams reporting to Pilgrim ED oversight Group with an aim to represent all departments and system partners who have direct service requirements/dependencies both clinical and non-clinical.</w:t>
      </w:r>
    </w:p>
    <w:p w:rsidR="002A2910" w:rsidRPr="002A2910" w:rsidRDefault="002A2910" w:rsidP="002A2910">
      <w:pPr>
        <w:rPr>
          <w:sz w:val="22"/>
        </w:rPr>
      </w:pPr>
    </w:p>
    <w:p w:rsidR="002A2910" w:rsidRPr="002A2910" w:rsidRDefault="002A2910" w:rsidP="002A2910">
      <w:pPr>
        <w:rPr>
          <w:sz w:val="22"/>
        </w:rPr>
      </w:pPr>
      <w:r w:rsidRPr="002A2910">
        <w:rPr>
          <w:sz w:val="22"/>
        </w:rPr>
        <w:t>The work stream group will have responsibility and accountability to deliver;</w:t>
      </w:r>
    </w:p>
    <w:p w:rsidR="002A2910" w:rsidRPr="002A2910" w:rsidRDefault="002A2910" w:rsidP="002A2910">
      <w:pPr>
        <w:rPr>
          <w:sz w:val="22"/>
        </w:rPr>
      </w:pPr>
    </w:p>
    <w:p w:rsidR="002A2910" w:rsidRPr="002A2910" w:rsidRDefault="002A2910" w:rsidP="00DF7F41">
      <w:pPr>
        <w:numPr>
          <w:ilvl w:val="0"/>
          <w:numId w:val="90"/>
        </w:numPr>
        <w:contextualSpacing/>
        <w:rPr>
          <w:sz w:val="22"/>
        </w:rPr>
      </w:pPr>
      <w:r w:rsidRPr="002A2910">
        <w:rPr>
          <w:sz w:val="22"/>
        </w:rPr>
        <w:t>Develop and review the scope and requirements for the design.</w:t>
      </w:r>
    </w:p>
    <w:p w:rsidR="002A2910" w:rsidRPr="002A2910" w:rsidRDefault="002A2910" w:rsidP="002A2910">
      <w:pPr>
        <w:ind w:left="1080"/>
        <w:contextualSpacing/>
        <w:rPr>
          <w:sz w:val="22"/>
        </w:rPr>
      </w:pPr>
    </w:p>
    <w:p w:rsidR="002A2910" w:rsidRPr="002A2910" w:rsidRDefault="002A2910" w:rsidP="00DF7F41">
      <w:pPr>
        <w:numPr>
          <w:ilvl w:val="0"/>
          <w:numId w:val="90"/>
        </w:numPr>
        <w:contextualSpacing/>
        <w:rPr>
          <w:sz w:val="22"/>
        </w:rPr>
      </w:pPr>
      <w:r w:rsidRPr="002A2910">
        <w:rPr>
          <w:sz w:val="22"/>
        </w:rPr>
        <w:t>Enabling works - Preparation of the site for the first stage of development.</w:t>
      </w:r>
    </w:p>
    <w:p w:rsidR="002A2910" w:rsidRPr="002A2910" w:rsidRDefault="002A2910" w:rsidP="002A2910">
      <w:pPr>
        <w:ind w:left="1080"/>
        <w:contextualSpacing/>
        <w:rPr>
          <w:sz w:val="22"/>
        </w:rPr>
      </w:pPr>
    </w:p>
    <w:p w:rsidR="002A2910" w:rsidRPr="002A2910" w:rsidRDefault="002A2910" w:rsidP="00DF7F41">
      <w:pPr>
        <w:numPr>
          <w:ilvl w:val="0"/>
          <w:numId w:val="90"/>
        </w:numPr>
        <w:contextualSpacing/>
        <w:rPr>
          <w:sz w:val="22"/>
        </w:rPr>
      </w:pPr>
      <w:r w:rsidRPr="002A2910">
        <w:rPr>
          <w:sz w:val="22"/>
        </w:rPr>
        <w:t>Identify and explore the different delivery model options and evaluate against an agreed set of criteria.</w:t>
      </w:r>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299" w:name="_Toc100070309"/>
      <w:bookmarkStart w:id="300" w:name="_Toc100307235"/>
      <w:bookmarkStart w:id="301" w:name="_Toc100307383"/>
      <w:bookmarkStart w:id="302" w:name="_Toc100318589"/>
      <w:bookmarkStart w:id="303" w:name="_Toc100320597"/>
      <w:bookmarkStart w:id="304" w:name="_Toc100341079"/>
      <w:bookmarkStart w:id="305" w:name="_Toc100569495"/>
      <w:bookmarkStart w:id="306" w:name="_Toc105493534"/>
      <w:bookmarkStart w:id="307" w:name="_Toc105665259"/>
      <w:r w:rsidRPr="002A2910">
        <w:rPr>
          <w:rFonts w:asciiTheme="majorHAnsi" w:eastAsiaTheme="majorEastAsia" w:hAnsiTheme="majorHAnsi" w:cstheme="majorBidi"/>
          <w:b/>
          <w:bCs/>
          <w:color w:val="365F91" w:themeColor="accent1" w:themeShade="BF"/>
          <w:sz w:val="28"/>
          <w:szCs w:val="28"/>
        </w:rPr>
        <w:t>Membership</w:t>
      </w:r>
      <w:bookmarkEnd w:id="299"/>
      <w:bookmarkEnd w:id="300"/>
      <w:bookmarkEnd w:id="301"/>
      <w:bookmarkEnd w:id="302"/>
      <w:bookmarkEnd w:id="303"/>
      <w:bookmarkEnd w:id="304"/>
      <w:bookmarkEnd w:id="305"/>
      <w:bookmarkEnd w:id="306"/>
      <w:bookmarkEnd w:id="307"/>
    </w:p>
    <w:p w:rsidR="002A2910" w:rsidRPr="002A2910" w:rsidRDefault="002A2910" w:rsidP="002A2910"/>
    <w:tbl>
      <w:tblPr>
        <w:tblW w:w="7045" w:type="dxa"/>
        <w:tblCellMar>
          <w:left w:w="0" w:type="dxa"/>
          <w:right w:w="0" w:type="dxa"/>
        </w:tblCellMar>
        <w:tblLook w:val="04A0" w:firstRow="1" w:lastRow="0" w:firstColumn="1" w:lastColumn="0" w:noHBand="0" w:noVBand="1"/>
      </w:tblPr>
      <w:tblGrid>
        <w:gridCol w:w="4253"/>
        <w:gridCol w:w="2666"/>
        <w:gridCol w:w="126"/>
      </w:tblGrid>
      <w:tr w:rsidR="004F798E" w:rsidRPr="002A2910" w:rsidTr="004F798E">
        <w:trPr>
          <w:trHeight w:val="31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b/>
                <w:bCs/>
                <w:color w:val="000000"/>
              </w:rPr>
            </w:pPr>
            <w:r w:rsidRPr="002A2910">
              <w:rPr>
                <w:rFonts w:cs="Arial"/>
                <w:b/>
                <w:bCs/>
                <w:color w:val="000000"/>
              </w:rPr>
              <w:t>Position</w:t>
            </w:r>
          </w:p>
        </w:tc>
        <w:tc>
          <w:tcPr>
            <w:tcW w:w="2792" w:type="dxa"/>
            <w:gridSpan w:val="2"/>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b/>
                <w:bCs/>
                <w:color w:val="000000"/>
              </w:rPr>
            </w:pPr>
            <w:r w:rsidRPr="002A2910">
              <w:rPr>
                <w:rFonts w:cs="Arial"/>
                <w:b/>
                <w:bCs/>
                <w:color w:val="000000"/>
              </w:rPr>
              <w:t>Organisation</w:t>
            </w: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proofErr w:type="spellStart"/>
            <w:r w:rsidRPr="002A2910">
              <w:rPr>
                <w:rFonts w:cs="Arial"/>
                <w:color w:val="000000"/>
                <w:sz w:val="18"/>
                <w:szCs w:val="18"/>
              </w:rPr>
              <w:t>Workstream</w:t>
            </w:r>
            <w:proofErr w:type="spellEnd"/>
            <w:r w:rsidRPr="002A2910">
              <w:rPr>
                <w:rFonts w:cs="Arial"/>
                <w:color w:val="000000"/>
                <w:sz w:val="18"/>
                <w:szCs w:val="18"/>
              </w:rPr>
              <w:t xml:space="preserve"> 2 SRO</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Strategic Advisor </w:t>
            </w:r>
          </w:p>
        </w:tc>
        <w:tc>
          <w:tcPr>
            <w:tcW w:w="2792" w:type="dxa"/>
            <w:gridSpan w:val="2"/>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Consultant </w:t>
            </w: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Project Director</w:t>
            </w:r>
          </w:p>
        </w:tc>
        <w:tc>
          <w:tcPr>
            <w:tcW w:w="2792" w:type="dxa"/>
            <w:gridSpan w:val="2"/>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ULHT</w:t>
            </w: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Interim Capital Estates</w:t>
            </w:r>
          </w:p>
        </w:tc>
        <w:tc>
          <w:tcPr>
            <w:tcW w:w="2792" w:type="dxa"/>
            <w:gridSpan w:val="2"/>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ULHT</w:t>
            </w: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Procurement </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Procurement</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Matron – Estates &amp; Facilities</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r w:rsidRPr="002A2910">
              <w:rPr>
                <w:rFonts w:cs="Arial"/>
                <w:color w:val="000000"/>
                <w:sz w:val="18"/>
                <w:szCs w:val="18"/>
              </w:rPr>
              <w:t>Kieron Davey</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ULHT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ULHT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Ian Trevor</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Communications Officer</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p>
        </w:tc>
        <w:tc>
          <w:tcPr>
            <w:tcW w:w="2666" w:type="dxa"/>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tcPr>
          <w:p w:rsidR="004F798E" w:rsidRPr="002A2910" w:rsidRDefault="004F798E" w:rsidP="002A2910">
            <w:pPr>
              <w:rPr>
                <w:rFonts w:cs="Arial"/>
                <w:color w:val="000000"/>
                <w:sz w:val="18"/>
                <w:szCs w:val="18"/>
              </w:rPr>
            </w:pPr>
          </w:p>
        </w:tc>
      </w:tr>
    </w:tbl>
    <w:p w:rsidR="002A2910" w:rsidRPr="002A2910" w:rsidRDefault="002A2910" w:rsidP="002A2910">
      <w:pPr>
        <w:rPr>
          <w:sz w:val="22"/>
        </w:rPr>
      </w:pPr>
      <w:r w:rsidRPr="002A2910" w:rsidDel="00D41AB7">
        <w:rPr>
          <w:sz w:val="22"/>
        </w:rPr>
        <w:t xml:space="preserve"> </w:t>
      </w:r>
    </w:p>
    <w:p w:rsidR="002A2910" w:rsidRPr="002A2910" w:rsidRDefault="002A2910" w:rsidP="002A2910">
      <w:pPr>
        <w:contextualSpacing/>
        <w:rPr>
          <w:sz w:val="22"/>
        </w:rPr>
      </w:pPr>
      <w:r w:rsidRPr="002A2910">
        <w:rPr>
          <w:sz w:val="22"/>
        </w:rPr>
        <w:t xml:space="preserve">It is expected that members attend and when unable they will send a fully briefed deputy, who will be responsible for the communication within their respective division/Department. </w:t>
      </w:r>
    </w:p>
    <w:p w:rsidR="002A2910" w:rsidRPr="002A2910" w:rsidRDefault="002A2910" w:rsidP="002A2910">
      <w:pPr>
        <w:contextualSpacing/>
        <w:rPr>
          <w:sz w:val="22"/>
        </w:rPr>
      </w:pPr>
    </w:p>
    <w:p w:rsidR="002A2910" w:rsidRPr="002A2910" w:rsidRDefault="002A2910" w:rsidP="002A2910">
      <w:pPr>
        <w:contextualSpacing/>
        <w:rPr>
          <w:sz w:val="22"/>
        </w:rPr>
      </w:pPr>
      <w:r w:rsidRPr="002A2910">
        <w:rPr>
          <w:sz w:val="22"/>
        </w:rPr>
        <w:t>The group will be expected to grow/reduce as decided by the Lead SRO dependent on priority of proposals.</w:t>
      </w:r>
    </w:p>
    <w:p w:rsidR="002A2910" w:rsidRPr="002A2910" w:rsidRDefault="002A2910" w:rsidP="002A2910">
      <w:pPr>
        <w:contextualSpacing/>
        <w:rPr>
          <w:sz w:val="22"/>
        </w:rPr>
      </w:pPr>
    </w:p>
    <w:p w:rsidR="002A2910" w:rsidRPr="002A2910" w:rsidRDefault="002A2910" w:rsidP="002A2910">
      <w:pPr>
        <w:contextualSpacing/>
        <w:rPr>
          <w:sz w:val="22"/>
        </w:rPr>
      </w:pPr>
      <w:r w:rsidRPr="002A2910">
        <w:rPr>
          <w:sz w:val="22"/>
        </w:rPr>
        <w:t>It is the responsibility and kindly requested of each of the attendees to provide regular updates to their respective internal departments and staff colleagues and all general communication to be agreed by Communication department.</w:t>
      </w:r>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308" w:name="_Toc100070310"/>
      <w:bookmarkStart w:id="309" w:name="_Toc100307236"/>
      <w:bookmarkStart w:id="310" w:name="_Toc100307384"/>
      <w:bookmarkStart w:id="311" w:name="_Toc100318590"/>
      <w:bookmarkStart w:id="312" w:name="_Toc100320598"/>
      <w:bookmarkStart w:id="313" w:name="_Toc100341080"/>
      <w:bookmarkStart w:id="314" w:name="_Toc100569496"/>
      <w:bookmarkStart w:id="315" w:name="_Toc105493535"/>
      <w:bookmarkStart w:id="316" w:name="_Toc105665260"/>
      <w:r w:rsidRPr="002A2910">
        <w:rPr>
          <w:rFonts w:asciiTheme="majorHAnsi" w:eastAsiaTheme="majorEastAsia" w:hAnsiTheme="majorHAnsi" w:cstheme="majorBidi"/>
          <w:b/>
          <w:bCs/>
          <w:color w:val="365F91" w:themeColor="accent1" w:themeShade="BF"/>
          <w:sz w:val="28"/>
          <w:szCs w:val="28"/>
        </w:rPr>
        <w:t>Quorate</w:t>
      </w:r>
      <w:bookmarkEnd w:id="308"/>
      <w:bookmarkEnd w:id="309"/>
      <w:bookmarkEnd w:id="310"/>
      <w:bookmarkEnd w:id="311"/>
      <w:bookmarkEnd w:id="312"/>
      <w:bookmarkEnd w:id="313"/>
      <w:bookmarkEnd w:id="314"/>
      <w:bookmarkEnd w:id="315"/>
      <w:bookmarkEnd w:id="316"/>
    </w:p>
    <w:p w:rsidR="002A2910" w:rsidRPr="002A2910" w:rsidRDefault="002A2910" w:rsidP="002A2910">
      <w:pPr>
        <w:rPr>
          <w:sz w:val="22"/>
        </w:rPr>
      </w:pPr>
    </w:p>
    <w:p w:rsidR="002A2910" w:rsidRPr="002A2910" w:rsidRDefault="002A2910" w:rsidP="002A2910">
      <w:pPr>
        <w:rPr>
          <w:sz w:val="22"/>
        </w:rPr>
      </w:pPr>
      <w:r w:rsidRPr="002A2910">
        <w:rPr>
          <w:sz w:val="22"/>
        </w:rPr>
        <w:t xml:space="preserve">Meetings will be considered quorate as a minimum the chair, or representative, nursing and estates.  </w:t>
      </w:r>
    </w:p>
    <w:p w:rsidR="002A2910" w:rsidRPr="002A2910" w:rsidRDefault="002A2910" w:rsidP="002A2910">
      <w:pPr>
        <w:rPr>
          <w:sz w:val="22"/>
        </w:rPr>
      </w:pPr>
      <w:r w:rsidRPr="002A2910">
        <w:rPr>
          <w:sz w:val="22"/>
        </w:rPr>
        <w:t xml:space="preserve">The </w:t>
      </w:r>
      <w:proofErr w:type="spellStart"/>
      <w:r w:rsidRPr="002A2910">
        <w:rPr>
          <w:sz w:val="22"/>
        </w:rPr>
        <w:t>workstream</w:t>
      </w:r>
      <w:proofErr w:type="spellEnd"/>
      <w:r w:rsidRPr="002A2910">
        <w:rPr>
          <w:sz w:val="22"/>
        </w:rPr>
        <w:t xml:space="preserve"> reports into this Group for discussion/awareness/sign off.  Monthly reports will be submitted to Trust Board and regular updates to </w:t>
      </w:r>
      <w:proofErr w:type="gramStart"/>
      <w:r w:rsidRPr="002A2910">
        <w:rPr>
          <w:sz w:val="22"/>
        </w:rPr>
        <w:t>NHSE/I</w:t>
      </w:r>
      <w:proofErr w:type="gramEnd"/>
      <w:r w:rsidRPr="002A2910">
        <w:rPr>
          <w:sz w:val="22"/>
        </w:rPr>
        <w:t>.</w:t>
      </w:r>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317" w:name="_Toc100070311"/>
      <w:bookmarkStart w:id="318" w:name="_Toc100307237"/>
      <w:bookmarkStart w:id="319" w:name="_Toc100307385"/>
      <w:bookmarkStart w:id="320" w:name="_Toc100318591"/>
      <w:bookmarkStart w:id="321" w:name="_Toc100320599"/>
      <w:bookmarkStart w:id="322" w:name="_Toc100341081"/>
      <w:bookmarkStart w:id="323" w:name="_Toc100569497"/>
      <w:bookmarkStart w:id="324" w:name="_Toc105493536"/>
      <w:bookmarkStart w:id="325" w:name="_Toc105665261"/>
      <w:r w:rsidRPr="002A2910">
        <w:rPr>
          <w:rFonts w:asciiTheme="majorHAnsi" w:hAnsiTheme="majorHAnsi" w:cstheme="majorBidi"/>
          <w:b/>
          <w:bCs/>
          <w:color w:val="365F91" w:themeColor="accent1" w:themeShade="BF"/>
          <w:sz w:val="28"/>
          <w:szCs w:val="28"/>
        </w:rPr>
        <w:t>Frequency:</w:t>
      </w:r>
      <w:bookmarkEnd w:id="317"/>
      <w:bookmarkEnd w:id="318"/>
      <w:bookmarkEnd w:id="319"/>
      <w:bookmarkEnd w:id="320"/>
      <w:bookmarkEnd w:id="321"/>
      <w:bookmarkEnd w:id="322"/>
      <w:bookmarkEnd w:id="323"/>
      <w:bookmarkEnd w:id="324"/>
      <w:bookmarkEnd w:id="325"/>
    </w:p>
    <w:p w:rsidR="002A2910" w:rsidRPr="002A2910" w:rsidRDefault="002A2910" w:rsidP="002A2910">
      <w:pPr>
        <w:rPr>
          <w:sz w:val="22"/>
        </w:rPr>
      </w:pPr>
    </w:p>
    <w:p w:rsidR="002A2910" w:rsidRPr="002A2910" w:rsidRDefault="002A2910" w:rsidP="002A2910">
      <w:pPr>
        <w:rPr>
          <w:sz w:val="22"/>
        </w:rPr>
      </w:pPr>
      <w:r w:rsidRPr="002A2910">
        <w:rPr>
          <w:sz w:val="22"/>
        </w:rPr>
        <w:t>The meeting will meet fortnightly. Use of Microsoft teams will be available to all sites.</w:t>
      </w:r>
    </w:p>
    <w:p w:rsidR="002A2910" w:rsidRPr="002A2910" w:rsidRDefault="002A2910" w:rsidP="002A2910">
      <w:pPr>
        <w:pBdr>
          <w:bottom w:val="single" w:sz="6" w:space="1" w:color="auto"/>
        </w:pBdr>
      </w:pPr>
      <w:r>
        <w:rPr>
          <w:lang w:eastAsia="en-GB"/>
        </w:rPr>
        <w:br w:type="page"/>
      </w:r>
    </w:p>
    <w:p w:rsidR="002A2910" w:rsidRPr="002A2910" w:rsidRDefault="002A2910" w:rsidP="002A2910"/>
    <w:p w:rsidR="002A2910" w:rsidRPr="002A2910" w:rsidRDefault="002A2910" w:rsidP="002A2910">
      <w:pPr>
        <w:jc w:val="center"/>
        <w:rPr>
          <w:b/>
          <w:sz w:val="36"/>
        </w:rPr>
      </w:pPr>
      <w:r w:rsidRPr="002A2910">
        <w:rPr>
          <w:b/>
          <w:sz w:val="36"/>
        </w:rPr>
        <w:t>Terms of Reference</w:t>
      </w:r>
    </w:p>
    <w:p w:rsidR="002A2910" w:rsidRPr="002A2910" w:rsidRDefault="002A2910" w:rsidP="002A2910">
      <w:pPr>
        <w:jc w:val="center"/>
        <w:rPr>
          <w:sz w:val="36"/>
        </w:rPr>
      </w:pPr>
    </w:p>
    <w:p w:rsidR="002A2910" w:rsidRPr="002A2910" w:rsidRDefault="002A2910" w:rsidP="002A2910">
      <w:pPr>
        <w:pBdr>
          <w:bottom w:val="single" w:sz="8" w:space="4" w:color="4F81BD" w:themeColor="accent1"/>
        </w:pBdr>
        <w:spacing w:after="300"/>
        <w:contextualSpacing/>
        <w:jc w:val="center"/>
        <w:rPr>
          <w:rFonts w:asciiTheme="majorHAnsi" w:eastAsiaTheme="majorEastAsia" w:hAnsiTheme="majorHAnsi" w:cstheme="majorBidi"/>
          <w:color w:val="17365D" w:themeColor="text2" w:themeShade="BF"/>
          <w:spacing w:val="5"/>
          <w:kern w:val="28"/>
          <w:sz w:val="52"/>
          <w:szCs w:val="52"/>
        </w:rPr>
      </w:pPr>
      <w:r w:rsidRPr="002A2910">
        <w:rPr>
          <w:rFonts w:asciiTheme="majorHAnsi" w:eastAsiaTheme="majorEastAsia" w:hAnsiTheme="majorHAnsi" w:cstheme="majorBidi"/>
          <w:color w:val="17365D" w:themeColor="text2" w:themeShade="BF"/>
          <w:spacing w:val="5"/>
          <w:kern w:val="28"/>
          <w:sz w:val="52"/>
          <w:szCs w:val="52"/>
        </w:rPr>
        <w:t xml:space="preserve">The Pilgrim ED oversight group – </w:t>
      </w:r>
      <w:proofErr w:type="spellStart"/>
      <w:r w:rsidRPr="002A2910">
        <w:rPr>
          <w:rFonts w:asciiTheme="majorHAnsi" w:eastAsiaTheme="majorEastAsia" w:hAnsiTheme="majorHAnsi" w:cstheme="majorBidi"/>
          <w:color w:val="17365D" w:themeColor="text2" w:themeShade="BF"/>
          <w:spacing w:val="5"/>
          <w:kern w:val="28"/>
          <w:sz w:val="52"/>
          <w:szCs w:val="52"/>
        </w:rPr>
        <w:t>Workstream</w:t>
      </w:r>
      <w:proofErr w:type="spellEnd"/>
      <w:r w:rsidRPr="002A2910">
        <w:rPr>
          <w:rFonts w:asciiTheme="majorHAnsi" w:eastAsiaTheme="majorEastAsia" w:hAnsiTheme="majorHAnsi" w:cstheme="majorBidi"/>
          <w:color w:val="17365D" w:themeColor="text2" w:themeShade="BF"/>
          <w:spacing w:val="5"/>
          <w:kern w:val="28"/>
          <w:sz w:val="52"/>
          <w:szCs w:val="52"/>
        </w:rPr>
        <w:t xml:space="preserve"> 3 – Power and Utilities</w:t>
      </w:r>
    </w:p>
    <w:p w:rsidR="002A2910" w:rsidRPr="002A2910" w:rsidRDefault="002A2910" w:rsidP="002A2910">
      <w:pPr>
        <w:keepNext/>
        <w:keepLines/>
        <w:spacing w:before="480"/>
        <w:outlineLvl w:val="0"/>
        <w:rPr>
          <w:rFonts w:asciiTheme="majorHAnsi" w:eastAsiaTheme="majorEastAsia" w:hAnsiTheme="majorHAnsi" w:cstheme="majorBidi"/>
          <w:b/>
          <w:bCs/>
          <w:sz w:val="22"/>
        </w:rPr>
      </w:pPr>
      <w:bookmarkStart w:id="326" w:name="_Toc100070312"/>
      <w:bookmarkStart w:id="327" w:name="_Toc100307238"/>
      <w:bookmarkStart w:id="328" w:name="_Toc100307386"/>
      <w:bookmarkStart w:id="329" w:name="_Toc100318592"/>
      <w:bookmarkStart w:id="330" w:name="_Toc100320600"/>
      <w:bookmarkStart w:id="331" w:name="_Toc100341082"/>
      <w:bookmarkStart w:id="332" w:name="_Toc100569498"/>
      <w:bookmarkStart w:id="333" w:name="_Toc105493537"/>
      <w:bookmarkStart w:id="334" w:name="_Toc105665262"/>
      <w:r w:rsidRPr="002A2910">
        <w:rPr>
          <w:rFonts w:asciiTheme="majorHAnsi" w:eastAsiaTheme="majorEastAsia" w:hAnsiTheme="majorHAnsi" w:cstheme="majorBidi"/>
          <w:b/>
          <w:bCs/>
          <w:sz w:val="22"/>
        </w:rPr>
        <w:t>Scope</w:t>
      </w:r>
      <w:bookmarkEnd w:id="326"/>
      <w:bookmarkEnd w:id="327"/>
      <w:bookmarkEnd w:id="328"/>
      <w:bookmarkEnd w:id="329"/>
      <w:bookmarkEnd w:id="330"/>
      <w:bookmarkEnd w:id="331"/>
      <w:bookmarkEnd w:id="332"/>
      <w:bookmarkEnd w:id="333"/>
      <w:bookmarkEnd w:id="334"/>
    </w:p>
    <w:p w:rsidR="002A2910" w:rsidRPr="002A2910" w:rsidRDefault="002A2910" w:rsidP="002A2910">
      <w:pPr>
        <w:rPr>
          <w:b/>
          <w:sz w:val="22"/>
        </w:rPr>
      </w:pPr>
    </w:p>
    <w:p w:rsidR="002A2910" w:rsidRPr="002A2910" w:rsidRDefault="002A2910" w:rsidP="002A2910">
      <w:pPr>
        <w:rPr>
          <w:sz w:val="22"/>
        </w:rPr>
      </w:pPr>
      <w:r w:rsidRPr="002A2910">
        <w:rPr>
          <w:sz w:val="22"/>
        </w:rPr>
        <w:t xml:space="preserve">The Pilgrim Hospital Emergency Department project is part of a programme of work to improve Urgent and Emergency Care.  It was established by the ULHT Trust Board in 2019 following approval of funding for the work.  </w:t>
      </w:r>
    </w:p>
    <w:p w:rsidR="002A2910" w:rsidRPr="002A2910" w:rsidRDefault="002A2910" w:rsidP="002A2910">
      <w:pPr>
        <w:rPr>
          <w:sz w:val="22"/>
        </w:rPr>
      </w:pPr>
    </w:p>
    <w:p w:rsidR="002A2910" w:rsidRPr="002A2910" w:rsidRDefault="002A2910" w:rsidP="002A2910">
      <w:pPr>
        <w:rPr>
          <w:sz w:val="22"/>
        </w:rPr>
      </w:pPr>
      <w:r w:rsidRPr="002A2910">
        <w:rPr>
          <w:sz w:val="22"/>
        </w:rPr>
        <w:t xml:space="preserve">To ensure progress on the project </w:t>
      </w:r>
      <w:proofErr w:type="gramStart"/>
      <w:r w:rsidRPr="002A2910">
        <w:rPr>
          <w:sz w:val="22"/>
        </w:rPr>
        <w:t>an</w:t>
      </w:r>
      <w:proofErr w:type="gramEnd"/>
      <w:r w:rsidRPr="002A2910">
        <w:rPr>
          <w:sz w:val="22"/>
        </w:rPr>
        <w:t xml:space="preserve"> SRO (the Trusts Director of Improvement and Integration) was put in place, with a supporting Oversight Group of senior leaders in CCG and partner organisations.  A project director (ULHT’s Associate Director of Strategic Projects) was asked to lead the underlying working group.  The reporting governance structure is given below:</w:t>
      </w:r>
    </w:p>
    <w:p w:rsidR="002A2910" w:rsidRPr="002A2910" w:rsidRDefault="002A2910" w:rsidP="002A2910">
      <w:pPr>
        <w:rPr>
          <w:sz w:val="22"/>
        </w:rPr>
      </w:pPr>
    </w:p>
    <w:p w:rsidR="002A2910" w:rsidRPr="002A2910" w:rsidRDefault="002A2910" w:rsidP="002A2910">
      <w:pPr>
        <w:jc w:val="center"/>
        <w:rPr>
          <w:sz w:val="22"/>
        </w:rPr>
      </w:pPr>
      <w:r w:rsidRPr="002A2910">
        <w:rPr>
          <w:noProof/>
          <w:sz w:val="22"/>
          <w:lang w:eastAsia="en-GB"/>
        </w:rPr>
        <w:drawing>
          <wp:inline distT="0" distB="0" distL="0" distR="0" wp14:anchorId="19163B77" wp14:editId="04F40473">
            <wp:extent cx="4737100" cy="2914015"/>
            <wp:effectExtent l="0" t="0" r="6350" b="63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37100" cy="2914015"/>
                    </a:xfrm>
                    <a:prstGeom prst="rect">
                      <a:avLst/>
                    </a:prstGeom>
                    <a:noFill/>
                  </pic:spPr>
                </pic:pic>
              </a:graphicData>
            </a:graphic>
          </wp:inline>
        </w:drawing>
      </w:r>
    </w:p>
    <w:p w:rsidR="002A2910" w:rsidRPr="002A2910" w:rsidRDefault="002A2910" w:rsidP="002A2910">
      <w:pPr>
        <w:rPr>
          <w:b/>
          <w:sz w:val="22"/>
        </w:rPr>
      </w:pPr>
    </w:p>
    <w:p w:rsidR="002A2910" w:rsidRPr="002A2910" w:rsidRDefault="002A2910" w:rsidP="002A2910">
      <w:pPr>
        <w:rPr>
          <w:b/>
          <w:sz w:val="22"/>
        </w:rPr>
      </w:pPr>
    </w:p>
    <w:p w:rsidR="002A2910" w:rsidRPr="002A2910" w:rsidRDefault="002A2910" w:rsidP="002A2910">
      <w:pPr>
        <w:rPr>
          <w:sz w:val="22"/>
        </w:rPr>
      </w:pPr>
      <w:proofErr w:type="spellStart"/>
      <w:r w:rsidRPr="002A2910">
        <w:rPr>
          <w:sz w:val="22"/>
        </w:rPr>
        <w:t>Workstream</w:t>
      </w:r>
      <w:proofErr w:type="spellEnd"/>
      <w:r w:rsidRPr="002A2910">
        <w:rPr>
          <w:sz w:val="22"/>
        </w:rPr>
        <w:t xml:space="preserve"> 3 is one of the five Pre-mobilisation work streams reporting to Pilgrim ED oversight Group with an aim to represent all departments and system partners who have direct service requirements/dependencies both clinical and non-clinical.</w:t>
      </w:r>
    </w:p>
    <w:p w:rsidR="002A2910" w:rsidRPr="002A2910" w:rsidRDefault="002A2910" w:rsidP="002A2910">
      <w:pPr>
        <w:rPr>
          <w:sz w:val="22"/>
        </w:rPr>
      </w:pPr>
    </w:p>
    <w:p w:rsidR="002A2910" w:rsidRPr="002A2910" w:rsidRDefault="002A2910" w:rsidP="002A2910">
      <w:pPr>
        <w:rPr>
          <w:sz w:val="22"/>
        </w:rPr>
      </w:pPr>
      <w:r w:rsidRPr="002A2910">
        <w:rPr>
          <w:sz w:val="22"/>
        </w:rPr>
        <w:t>The work stream group will have responsibility and accountability to deliver;</w:t>
      </w:r>
    </w:p>
    <w:p w:rsidR="002A2910" w:rsidRPr="002A2910" w:rsidRDefault="002A2910" w:rsidP="002A2910">
      <w:pPr>
        <w:rPr>
          <w:sz w:val="22"/>
        </w:rPr>
      </w:pPr>
    </w:p>
    <w:p w:rsidR="002A2910" w:rsidRPr="002A2910" w:rsidRDefault="002A2910" w:rsidP="00DF7F41">
      <w:pPr>
        <w:numPr>
          <w:ilvl w:val="0"/>
          <w:numId w:val="89"/>
        </w:numPr>
        <w:contextualSpacing/>
        <w:rPr>
          <w:sz w:val="22"/>
        </w:rPr>
      </w:pPr>
      <w:r w:rsidRPr="002A2910">
        <w:rPr>
          <w:sz w:val="22"/>
        </w:rPr>
        <w:t>Review and provide options to address the low capacity availability currently at front of house, Pilgrim;</w:t>
      </w:r>
    </w:p>
    <w:p w:rsidR="002A2910" w:rsidRPr="002A2910" w:rsidRDefault="002A2910" w:rsidP="002A2910">
      <w:pPr>
        <w:ind w:left="1080"/>
        <w:contextualSpacing/>
        <w:rPr>
          <w:sz w:val="22"/>
        </w:rPr>
      </w:pPr>
    </w:p>
    <w:p w:rsidR="002A2910" w:rsidRPr="002A2910" w:rsidRDefault="002A2910" w:rsidP="00DF7F41">
      <w:pPr>
        <w:numPr>
          <w:ilvl w:val="0"/>
          <w:numId w:val="89"/>
        </w:numPr>
        <w:contextualSpacing/>
        <w:rPr>
          <w:sz w:val="22"/>
        </w:rPr>
      </w:pPr>
      <w:r w:rsidRPr="002A2910">
        <w:rPr>
          <w:sz w:val="22"/>
        </w:rPr>
        <w:t>Scope, design specifications, tender agreed solution to meet the needs for power, water, medical gases;</w:t>
      </w:r>
    </w:p>
    <w:p w:rsidR="002A2910" w:rsidRPr="002A2910" w:rsidRDefault="002A2910" w:rsidP="002A2910">
      <w:pPr>
        <w:ind w:left="1080"/>
        <w:contextualSpacing/>
        <w:rPr>
          <w:sz w:val="22"/>
        </w:rPr>
      </w:pPr>
    </w:p>
    <w:p w:rsidR="002A2910" w:rsidRPr="002A2910" w:rsidRDefault="002A2910" w:rsidP="00DF7F41">
      <w:pPr>
        <w:numPr>
          <w:ilvl w:val="0"/>
          <w:numId w:val="89"/>
        </w:numPr>
        <w:contextualSpacing/>
        <w:rPr>
          <w:sz w:val="22"/>
        </w:rPr>
      </w:pPr>
      <w:r w:rsidRPr="002A2910">
        <w:rPr>
          <w:sz w:val="22"/>
        </w:rPr>
        <w:t>Review and provide options to address the digital services sustainability and resilience at Pilgrim hospital;</w:t>
      </w:r>
    </w:p>
    <w:p w:rsidR="002A2910" w:rsidRPr="002A2910" w:rsidRDefault="002A2910" w:rsidP="002A2910">
      <w:pPr>
        <w:rPr>
          <w:sz w:val="22"/>
        </w:rPr>
      </w:pPr>
    </w:p>
    <w:p w:rsidR="002A2910" w:rsidRPr="002A2910" w:rsidRDefault="002A2910" w:rsidP="00DF7F41">
      <w:pPr>
        <w:numPr>
          <w:ilvl w:val="0"/>
          <w:numId w:val="89"/>
        </w:numPr>
        <w:contextualSpacing/>
        <w:rPr>
          <w:sz w:val="22"/>
        </w:rPr>
      </w:pPr>
      <w:r w:rsidRPr="002A2910">
        <w:rPr>
          <w:sz w:val="22"/>
        </w:rPr>
        <w:t>Co-ordination and communication to all staff and system partners.</w:t>
      </w:r>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335" w:name="_Toc100070313"/>
      <w:bookmarkStart w:id="336" w:name="_Toc100307239"/>
      <w:bookmarkStart w:id="337" w:name="_Toc100307387"/>
      <w:bookmarkStart w:id="338" w:name="_Toc100318593"/>
      <w:bookmarkStart w:id="339" w:name="_Toc100320601"/>
      <w:bookmarkStart w:id="340" w:name="_Toc100341083"/>
      <w:bookmarkStart w:id="341" w:name="_Toc100569499"/>
      <w:bookmarkStart w:id="342" w:name="_Toc105493538"/>
      <w:bookmarkStart w:id="343" w:name="_Toc105665263"/>
      <w:r w:rsidRPr="002A2910">
        <w:rPr>
          <w:rFonts w:asciiTheme="majorHAnsi" w:eastAsiaTheme="majorEastAsia" w:hAnsiTheme="majorHAnsi" w:cstheme="majorBidi"/>
          <w:b/>
          <w:bCs/>
          <w:color w:val="365F91" w:themeColor="accent1" w:themeShade="BF"/>
          <w:sz w:val="28"/>
          <w:szCs w:val="28"/>
        </w:rPr>
        <w:t>Purpose</w:t>
      </w:r>
      <w:bookmarkEnd w:id="335"/>
      <w:bookmarkEnd w:id="336"/>
      <w:bookmarkEnd w:id="337"/>
      <w:bookmarkEnd w:id="338"/>
      <w:bookmarkEnd w:id="339"/>
      <w:bookmarkEnd w:id="340"/>
      <w:bookmarkEnd w:id="341"/>
      <w:bookmarkEnd w:id="342"/>
      <w:bookmarkEnd w:id="343"/>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344" w:name="_Toc100070314"/>
      <w:bookmarkStart w:id="345" w:name="_Toc100307240"/>
      <w:bookmarkStart w:id="346" w:name="_Toc100307388"/>
      <w:bookmarkStart w:id="347" w:name="_Toc100318594"/>
      <w:bookmarkStart w:id="348" w:name="_Toc100320602"/>
      <w:bookmarkStart w:id="349" w:name="_Toc100341084"/>
      <w:bookmarkStart w:id="350" w:name="_Toc100569500"/>
      <w:bookmarkStart w:id="351" w:name="_Toc105493539"/>
      <w:bookmarkStart w:id="352" w:name="_Toc105665264"/>
      <w:r w:rsidRPr="002A2910">
        <w:rPr>
          <w:rFonts w:asciiTheme="majorHAnsi" w:eastAsiaTheme="majorEastAsia" w:hAnsiTheme="majorHAnsi" w:cstheme="majorBidi"/>
          <w:b/>
          <w:bCs/>
          <w:color w:val="365F91" w:themeColor="accent1" w:themeShade="BF"/>
          <w:sz w:val="28"/>
          <w:szCs w:val="28"/>
        </w:rPr>
        <w:t>Work Stream 3</w:t>
      </w:r>
      <w:bookmarkEnd w:id="344"/>
      <w:bookmarkEnd w:id="345"/>
      <w:bookmarkEnd w:id="346"/>
      <w:bookmarkEnd w:id="347"/>
      <w:bookmarkEnd w:id="348"/>
      <w:bookmarkEnd w:id="349"/>
      <w:bookmarkEnd w:id="350"/>
      <w:bookmarkEnd w:id="351"/>
      <w:bookmarkEnd w:id="352"/>
    </w:p>
    <w:p w:rsidR="002A2910" w:rsidRPr="002A2910" w:rsidRDefault="002A2910" w:rsidP="002A2910">
      <w:pPr>
        <w:ind w:left="720" w:hanging="720"/>
      </w:pPr>
    </w:p>
    <w:p w:rsidR="002A2910" w:rsidRPr="002A2910" w:rsidRDefault="002A2910" w:rsidP="00DF7F41">
      <w:pPr>
        <w:numPr>
          <w:ilvl w:val="0"/>
          <w:numId w:val="88"/>
        </w:numPr>
        <w:contextualSpacing/>
        <w:rPr>
          <w:sz w:val="22"/>
        </w:rPr>
      </w:pPr>
      <w:r w:rsidRPr="002A2910">
        <w:rPr>
          <w:sz w:val="22"/>
        </w:rPr>
        <w:t>Review of Power &amp; Utilities capacity to meet the extra needs;</w:t>
      </w:r>
    </w:p>
    <w:p w:rsidR="002A2910" w:rsidRPr="002A2910" w:rsidRDefault="002A2910" w:rsidP="002A2910">
      <w:pPr>
        <w:ind w:left="720"/>
        <w:contextualSpacing/>
        <w:rPr>
          <w:sz w:val="22"/>
        </w:rPr>
      </w:pPr>
    </w:p>
    <w:p w:rsidR="002A2910" w:rsidRPr="002A2910" w:rsidRDefault="002A2910" w:rsidP="00DF7F41">
      <w:pPr>
        <w:numPr>
          <w:ilvl w:val="0"/>
          <w:numId w:val="88"/>
        </w:numPr>
        <w:contextualSpacing/>
        <w:rPr>
          <w:sz w:val="22"/>
        </w:rPr>
      </w:pPr>
      <w:r w:rsidRPr="002A2910">
        <w:rPr>
          <w:sz w:val="22"/>
        </w:rPr>
        <w:t>Provide and support specifications for tendering;</w:t>
      </w:r>
    </w:p>
    <w:p w:rsidR="002A2910" w:rsidRPr="002A2910" w:rsidRDefault="002A2910" w:rsidP="002A2910">
      <w:pPr>
        <w:ind w:left="720"/>
        <w:contextualSpacing/>
        <w:rPr>
          <w:sz w:val="22"/>
        </w:rPr>
      </w:pPr>
    </w:p>
    <w:p w:rsidR="002A2910" w:rsidRPr="002A2910" w:rsidRDefault="002A2910" w:rsidP="00DF7F41">
      <w:pPr>
        <w:numPr>
          <w:ilvl w:val="0"/>
          <w:numId w:val="88"/>
        </w:numPr>
        <w:contextualSpacing/>
        <w:rPr>
          <w:sz w:val="22"/>
        </w:rPr>
      </w:pPr>
      <w:r w:rsidRPr="002A2910">
        <w:rPr>
          <w:sz w:val="22"/>
        </w:rPr>
        <w:t>Digital Support Services options.</w:t>
      </w:r>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353" w:name="_Toc100070315"/>
      <w:bookmarkStart w:id="354" w:name="_Toc100307241"/>
      <w:bookmarkStart w:id="355" w:name="_Toc100307389"/>
      <w:bookmarkStart w:id="356" w:name="_Toc100318595"/>
      <w:bookmarkStart w:id="357" w:name="_Toc100320603"/>
      <w:bookmarkStart w:id="358" w:name="_Toc100341085"/>
      <w:bookmarkStart w:id="359" w:name="_Toc100569501"/>
      <w:bookmarkStart w:id="360" w:name="_Toc105493540"/>
      <w:bookmarkStart w:id="361" w:name="_Toc105665265"/>
      <w:r w:rsidRPr="002A2910">
        <w:rPr>
          <w:rFonts w:asciiTheme="majorHAnsi" w:eastAsiaTheme="majorEastAsia" w:hAnsiTheme="majorHAnsi" w:cstheme="majorBidi"/>
          <w:b/>
          <w:bCs/>
          <w:color w:val="365F91" w:themeColor="accent1" w:themeShade="BF"/>
          <w:sz w:val="28"/>
          <w:szCs w:val="28"/>
        </w:rPr>
        <w:t>Membership</w:t>
      </w:r>
      <w:bookmarkEnd w:id="353"/>
      <w:bookmarkEnd w:id="354"/>
      <w:bookmarkEnd w:id="355"/>
      <w:bookmarkEnd w:id="356"/>
      <w:bookmarkEnd w:id="357"/>
      <w:bookmarkEnd w:id="358"/>
      <w:bookmarkEnd w:id="359"/>
      <w:bookmarkEnd w:id="360"/>
      <w:bookmarkEnd w:id="361"/>
    </w:p>
    <w:p w:rsidR="002A2910" w:rsidRPr="002A2910" w:rsidRDefault="002A2910" w:rsidP="002A2910"/>
    <w:tbl>
      <w:tblPr>
        <w:tblW w:w="7045" w:type="dxa"/>
        <w:tblCellMar>
          <w:left w:w="0" w:type="dxa"/>
          <w:right w:w="0" w:type="dxa"/>
        </w:tblCellMar>
        <w:tblLook w:val="04A0" w:firstRow="1" w:lastRow="0" w:firstColumn="1" w:lastColumn="0" w:noHBand="0" w:noVBand="1"/>
      </w:tblPr>
      <w:tblGrid>
        <w:gridCol w:w="4253"/>
        <w:gridCol w:w="2666"/>
        <w:gridCol w:w="126"/>
      </w:tblGrid>
      <w:tr w:rsidR="004F798E" w:rsidRPr="002A2910" w:rsidTr="004F798E">
        <w:trPr>
          <w:trHeight w:val="31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b/>
                <w:bCs/>
                <w:color w:val="000000"/>
              </w:rPr>
            </w:pPr>
            <w:r w:rsidRPr="002A2910">
              <w:rPr>
                <w:rFonts w:cs="Arial"/>
                <w:b/>
                <w:bCs/>
                <w:color w:val="000000"/>
              </w:rPr>
              <w:t>Position</w:t>
            </w:r>
          </w:p>
        </w:tc>
        <w:tc>
          <w:tcPr>
            <w:tcW w:w="2792" w:type="dxa"/>
            <w:gridSpan w:val="2"/>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b/>
                <w:bCs/>
                <w:color w:val="000000"/>
              </w:rPr>
            </w:pPr>
            <w:r w:rsidRPr="002A2910">
              <w:rPr>
                <w:rFonts w:cs="Arial"/>
                <w:b/>
                <w:bCs/>
                <w:color w:val="000000"/>
              </w:rPr>
              <w:t>Organisation</w:t>
            </w: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proofErr w:type="spellStart"/>
            <w:r w:rsidRPr="002A2910">
              <w:rPr>
                <w:rFonts w:cs="Arial"/>
                <w:color w:val="000000"/>
                <w:sz w:val="18"/>
                <w:szCs w:val="18"/>
              </w:rPr>
              <w:t>Workstream</w:t>
            </w:r>
            <w:proofErr w:type="spellEnd"/>
            <w:r w:rsidRPr="002A2910">
              <w:rPr>
                <w:rFonts w:cs="Arial"/>
                <w:color w:val="000000"/>
                <w:sz w:val="18"/>
                <w:szCs w:val="18"/>
              </w:rPr>
              <w:t xml:space="preserve"> 3 SRO</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Strategic Advisor </w:t>
            </w:r>
          </w:p>
        </w:tc>
        <w:tc>
          <w:tcPr>
            <w:tcW w:w="2792" w:type="dxa"/>
            <w:gridSpan w:val="2"/>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Consultant </w:t>
            </w: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Cliff Almond</w:t>
            </w:r>
          </w:p>
        </w:tc>
        <w:tc>
          <w:tcPr>
            <w:tcW w:w="2792" w:type="dxa"/>
            <w:gridSpan w:val="2"/>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ULHT</w:t>
            </w: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Procurement </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Procurement</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Matron – Estates &amp; Facilities</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r w:rsidRPr="002A2910">
              <w:rPr>
                <w:rFonts w:cs="Arial"/>
                <w:color w:val="000000"/>
                <w:sz w:val="18"/>
                <w:szCs w:val="18"/>
              </w:rPr>
              <w:t>Kieron Davey</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ULHT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ULHT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TBC </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Fred Royales </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128"/>
        </w:trPr>
        <w:tc>
          <w:tcPr>
            <w:tcW w:w="4253"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Tony Woods</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Communications Officer</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bl>
    <w:p w:rsidR="002A2910" w:rsidRPr="002A2910" w:rsidRDefault="002A2910" w:rsidP="002A2910">
      <w:pPr>
        <w:rPr>
          <w:sz w:val="22"/>
        </w:rPr>
      </w:pPr>
      <w:r w:rsidRPr="002A2910" w:rsidDel="00D41AB7">
        <w:rPr>
          <w:sz w:val="22"/>
        </w:rPr>
        <w:t xml:space="preserve"> </w:t>
      </w:r>
    </w:p>
    <w:p w:rsidR="002A2910" w:rsidRPr="002A2910" w:rsidRDefault="002A2910" w:rsidP="002A2910">
      <w:pPr>
        <w:contextualSpacing/>
        <w:rPr>
          <w:sz w:val="22"/>
        </w:rPr>
      </w:pPr>
      <w:r w:rsidRPr="002A2910">
        <w:rPr>
          <w:sz w:val="22"/>
        </w:rPr>
        <w:t xml:space="preserve">It is expected that members attend and when unable they will send a fully briefed deputy, who will be responsible for the communication within their respective division/Department. </w:t>
      </w:r>
    </w:p>
    <w:p w:rsidR="002A2910" w:rsidRPr="002A2910" w:rsidRDefault="002A2910" w:rsidP="002A2910">
      <w:pPr>
        <w:contextualSpacing/>
        <w:rPr>
          <w:sz w:val="22"/>
        </w:rPr>
      </w:pPr>
    </w:p>
    <w:p w:rsidR="002A2910" w:rsidRPr="002A2910" w:rsidRDefault="002A2910" w:rsidP="002A2910">
      <w:pPr>
        <w:contextualSpacing/>
        <w:rPr>
          <w:sz w:val="22"/>
        </w:rPr>
      </w:pPr>
      <w:r w:rsidRPr="002A2910">
        <w:rPr>
          <w:sz w:val="22"/>
        </w:rPr>
        <w:t>The group will be expected to grow/reduce as decided by the Lead SRO dependent on priority of proposals.</w:t>
      </w:r>
    </w:p>
    <w:p w:rsidR="002A2910" w:rsidRPr="002A2910" w:rsidRDefault="002A2910" w:rsidP="002A2910">
      <w:pPr>
        <w:contextualSpacing/>
        <w:rPr>
          <w:sz w:val="22"/>
        </w:rPr>
      </w:pPr>
    </w:p>
    <w:p w:rsidR="002A2910" w:rsidRPr="002A2910" w:rsidRDefault="002A2910" w:rsidP="002A2910">
      <w:pPr>
        <w:contextualSpacing/>
        <w:rPr>
          <w:sz w:val="22"/>
        </w:rPr>
      </w:pPr>
      <w:r w:rsidRPr="002A2910">
        <w:rPr>
          <w:sz w:val="22"/>
        </w:rPr>
        <w:t>It is the responsibility and kindly requested of each of the attendees to provide regular updates to their respective internal departments and staff colleagues and all general communication to be agreed by Communication department.</w:t>
      </w:r>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362" w:name="_Toc100070316"/>
      <w:bookmarkStart w:id="363" w:name="_Toc100307242"/>
      <w:bookmarkStart w:id="364" w:name="_Toc100307390"/>
      <w:bookmarkStart w:id="365" w:name="_Toc100318596"/>
      <w:bookmarkStart w:id="366" w:name="_Toc100320604"/>
      <w:bookmarkStart w:id="367" w:name="_Toc100341086"/>
      <w:bookmarkStart w:id="368" w:name="_Toc100569502"/>
      <w:bookmarkStart w:id="369" w:name="_Toc105493541"/>
      <w:bookmarkStart w:id="370" w:name="_Toc105665266"/>
      <w:r w:rsidRPr="002A2910">
        <w:rPr>
          <w:rFonts w:asciiTheme="majorHAnsi" w:eastAsiaTheme="majorEastAsia" w:hAnsiTheme="majorHAnsi" w:cstheme="majorBidi"/>
          <w:b/>
          <w:bCs/>
          <w:color w:val="365F91" w:themeColor="accent1" w:themeShade="BF"/>
          <w:sz w:val="28"/>
          <w:szCs w:val="28"/>
        </w:rPr>
        <w:t>Quorate</w:t>
      </w:r>
      <w:bookmarkEnd w:id="362"/>
      <w:bookmarkEnd w:id="363"/>
      <w:bookmarkEnd w:id="364"/>
      <w:bookmarkEnd w:id="365"/>
      <w:bookmarkEnd w:id="366"/>
      <w:bookmarkEnd w:id="367"/>
      <w:bookmarkEnd w:id="368"/>
      <w:bookmarkEnd w:id="369"/>
      <w:bookmarkEnd w:id="370"/>
    </w:p>
    <w:p w:rsidR="002A2910" w:rsidRPr="002A2910" w:rsidRDefault="002A2910" w:rsidP="002A2910">
      <w:pPr>
        <w:rPr>
          <w:sz w:val="22"/>
        </w:rPr>
      </w:pPr>
    </w:p>
    <w:p w:rsidR="002A2910" w:rsidRPr="002A2910" w:rsidRDefault="002A2910" w:rsidP="002A2910">
      <w:pPr>
        <w:rPr>
          <w:sz w:val="22"/>
        </w:rPr>
      </w:pPr>
      <w:r w:rsidRPr="002A2910">
        <w:rPr>
          <w:sz w:val="22"/>
        </w:rPr>
        <w:t>Meetings will be considered quorate as a minimum the chair, or representative, nursing and estates.</w:t>
      </w:r>
    </w:p>
    <w:p w:rsidR="002A2910" w:rsidRPr="002A2910" w:rsidRDefault="002A2910" w:rsidP="002A2910">
      <w:pPr>
        <w:rPr>
          <w:sz w:val="22"/>
        </w:rPr>
      </w:pPr>
    </w:p>
    <w:p w:rsidR="002A2910" w:rsidRPr="002A2910" w:rsidRDefault="002A2910" w:rsidP="002A2910">
      <w:pPr>
        <w:rPr>
          <w:sz w:val="22"/>
        </w:rPr>
      </w:pPr>
      <w:r w:rsidRPr="002A2910">
        <w:rPr>
          <w:sz w:val="22"/>
        </w:rPr>
        <w:t xml:space="preserve">The </w:t>
      </w:r>
      <w:proofErr w:type="spellStart"/>
      <w:r w:rsidRPr="002A2910">
        <w:rPr>
          <w:sz w:val="22"/>
        </w:rPr>
        <w:t>workstream</w:t>
      </w:r>
      <w:proofErr w:type="spellEnd"/>
      <w:r w:rsidRPr="002A2910">
        <w:rPr>
          <w:sz w:val="22"/>
        </w:rPr>
        <w:t xml:space="preserve"> reports into this Group for discussion/awareness/sign off. Monthly reports will be submitted to Trust Board and regular updates to </w:t>
      </w:r>
      <w:proofErr w:type="gramStart"/>
      <w:r w:rsidRPr="002A2910">
        <w:rPr>
          <w:sz w:val="22"/>
        </w:rPr>
        <w:t>NHSE/I</w:t>
      </w:r>
      <w:proofErr w:type="gramEnd"/>
      <w:r w:rsidRPr="002A2910">
        <w:rPr>
          <w:sz w:val="22"/>
        </w:rPr>
        <w:t>.</w:t>
      </w:r>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371" w:name="_Toc100070317"/>
      <w:bookmarkStart w:id="372" w:name="_Toc100307243"/>
      <w:bookmarkStart w:id="373" w:name="_Toc100307391"/>
      <w:bookmarkStart w:id="374" w:name="_Toc100318597"/>
      <w:bookmarkStart w:id="375" w:name="_Toc100320605"/>
      <w:bookmarkStart w:id="376" w:name="_Toc100341087"/>
      <w:bookmarkStart w:id="377" w:name="_Toc100569503"/>
      <w:bookmarkStart w:id="378" w:name="_Toc105493542"/>
      <w:bookmarkStart w:id="379" w:name="_Toc105665267"/>
      <w:r w:rsidRPr="002A2910">
        <w:rPr>
          <w:rFonts w:asciiTheme="majorHAnsi" w:hAnsiTheme="majorHAnsi" w:cstheme="majorBidi"/>
          <w:b/>
          <w:bCs/>
          <w:color w:val="365F91" w:themeColor="accent1" w:themeShade="BF"/>
          <w:sz w:val="28"/>
          <w:szCs w:val="28"/>
        </w:rPr>
        <w:t>Frequency:</w:t>
      </w:r>
      <w:bookmarkEnd w:id="371"/>
      <w:bookmarkEnd w:id="372"/>
      <w:bookmarkEnd w:id="373"/>
      <w:bookmarkEnd w:id="374"/>
      <w:bookmarkEnd w:id="375"/>
      <w:bookmarkEnd w:id="376"/>
      <w:bookmarkEnd w:id="377"/>
      <w:bookmarkEnd w:id="378"/>
      <w:bookmarkEnd w:id="379"/>
    </w:p>
    <w:p w:rsidR="002A2910" w:rsidRPr="002A2910" w:rsidRDefault="002A2910" w:rsidP="002A2910">
      <w:pPr>
        <w:rPr>
          <w:sz w:val="22"/>
        </w:rPr>
      </w:pPr>
    </w:p>
    <w:p w:rsidR="002A2910" w:rsidRPr="002A2910" w:rsidRDefault="002A2910" w:rsidP="002A2910">
      <w:pPr>
        <w:rPr>
          <w:sz w:val="22"/>
        </w:rPr>
      </w:pPr>
      <w:r w:rsidRPr="002A2910">
        <w:rPr>
          <w:sz w:val="22"/>
        </w:rPr>
        <w:t>The meeting will meet fortnightly. Use of Microsoft teams will be available to all sites.</w:t>
      </w:r>
    </w:p>
    <w:p w:rsidR="002A2910" w:rsidRPr="002A2910" w:rsidRDefault="002A2910" w:rsidP="002A2910">
      <w:pPr>
        <w:rPr>
          <w:sz w:val="22"/>
        </w:rPr>
      </w:pPr>
    </w:p>
    <w:p w:rsidR="002A2910" w:rsidRDefault="002A2910">
      <w:pPr>
        <w:spacing w:after="200" w:line="276" w:lineRule="auto"/>
        <w:rPr>
          <w:lang w:eastAsia="en-GB"/>
        </w:rPr>
      </w:pPr>
      <w:r>
        <w:rPr>
          <w:lang w:eastAsia="en-GB"/>
        </w:rPr>
        <w:br w:type="page"/>
      </w:r>
    </w:p>
    <w:p w:rsidR="002A2910" w:rsidRPr="002A2910" w:rsidRDefault="002A2910" w:rsidP="002A2910">
      <w:pPr>
        <w:pBdr>
          <w:bottom w:val="single" w:sz="6" w:space="1" w:color="auto"/>
        </w:pBdr>
        <w:rPr>
          <w:color w:val="365F91" w:themeColor="accent1" w:themeShade="BF"/>
          <w:sz w:val="28"/>
          <w:szCs w:val="28"/>
        </w:rPr>
      </w:pPr>
    </w:p>
    <w:p w:rsidR="002A2910" w:rsidRPr="002A2910" w:rsidRDefault="002A2910" w:rsidP="002A2910"/>
    <w:p w:rsidR="002A2910" w:rsidRPr="002A2910" w:rsidRDefault="002A2910" w:rsidP="002A2910">
      <w:pPr>
        <w:jc w:val="center"/>
        <w:rPr>
          <w:b/>
          <w:sz w:val="36"/>
        </w:rPr>
      </w:pPr>
      <w:r w:rsidRPr="002A2910">
        <w:rPr>
          <w:b/>
          <w:sz w:val="36"/>
        </w:rPr>
        <w:t>Terms of Reference</w:t>
      </w:r>
    </w:p>
    <w:p w:rsidR="002A2910" w:rsidRPr="002A2910" w:rsidRDefault="002A2910" w:rsidP="002A2910">
      <w:pPr>
        <w:jc w:val="center"/>
        <w:rPr>
          <w:sz w:val="36"/>
        </w:rPr>
      </w:pPr>
    </w:p>
    <w:p w:rsidR="002A2910" w:rsidRPr="002A2910" w:rsidRDefault="002A2910" w:rsidP="002A2910">
      <w:pPr>
        <w:pBdr>
          <w:bottom w:val="single" w:sz="8" w:space="4" w:color="4F81BD" w:themeColor="accent1"/>
        </w:pBdr>
        <w:spacing w:after="300"/>
        <w:contextualSpacing/>
        <w:jc w:val="center"/>
        <w:rPr>
          <w:rFonts w:asciiTheme="majorHAnsi" w:eastAsiaTheme="majorEastAsia" w:hAnsiTheme="majorHAnsi" w:cstheme="majorBidi"/>
          <w:color w:val="17365D" w:themeColor="text2" w:themeShade="BF"/>
          <w:spacing w:val="5"/>
          <w:kern w:val="28"/>
          <w:sz w:val="52"/>
          <w:szCs w:val="52"/>
        </w:rPr>
      </w:pPr>
      <w:r w:rsidRPr="002A2910">
        <w:rPr>
          <w:rFonts w:asciiTheme="majorHAnsi" w:eastAsiaTheme="majorEastAsia" w:hAnsiTheme="majorHAnsi" w:cstheme="majorBidi"/>
          <w:color w:val="17365D" w:themeColor="text2" w:themeShade="BF"/>
          <w:spacing w:val="5"/>
          <w:kern w:val="28"/>
          <w:sz w:val="52"/>
          <w:szCs w:val="52"/>
        </w:rPr>
        <w:t xml:space="preserve">The Pilgrim ED oversight group – </w:t>
      </w:r>
      <w:proofErr w:type="spellStart"/>
      <w:r w:rsidRPr="002A2910">
        <w:rPr>
          <w:rFonts w:asciiTheme="majorHAnsi" w:eastAsiaTheme="majorEastAsia" w:hAnsiTheme="majorHAnsi" w:cstheme="majorBidi"/>
          <w:color w:val="17365D" w:themeColor="text2" w:themeShade="BF"/>
          <w:spacing w:val="5"/>
          <w:kern w:val="28"/>
          <w:sz w:val="52"/>
          <w:szCs w:val="52"/>
        </w:rPr>
        <w:t>Workstream</w:t>
      </w:r>
      <w:proofErr w:type="spellEnd"/>
      <w:r w:rsidRPr="002A2910">
        <w:rPr>
          <w:rFonts w:asciiTheme="majorHAnsi" w:eastAsiaTheme="majorEastAsia" w:hAnsiTheme="majorHAnsi" w:cstheme="majorBidi"/>
          <w:color w:val="17365D" w:themeColor="text2" w:themeShade="BF"/>
          <w:spacing w:val="5"/>
          <w:kern w:val="28"/>
          <w:sz w:val="52"/>
          <w:szCs w:val="52"/>
        </w:rPr>
        <w:t xml:space="preserve"> 4 – Design &amp; Build Tender</w:t>
      </w:r>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380" w:name="_Toc100070318"/>
      <w:bookmarkStart w:id="381" w:name="_Toc100307244"/>
      <w:bookmarkStart w:id="382" w:name="_Toc100307392"/>
      <w:bookmarkStart w:id="383" w:name="_Toc100318598"/>
      <w:bookmarkStart w:id="384" w:name="_Toc100320606"/>
      <w:bookmarkStart w:id="385" w:name="_Toc100341088"/>
      <w:bookmarkStart w:id="386" w:name="_Toc100569504"/>
      <w:bookmarkStart w:id="387" w:name="_Toc105493543"/>
      <w:bookmarkStart w:id="388" w:name="_Toc105665268"/>
      <w:r w:rsidRPr="002A2910">
        <w:rPr>
          <w:rFonts w:asciiTheme="majorHAnsi" w:eastAsiaTheme="majorEastAsia" w:hAnsiTheme="majorHAnsi" w:cstheme="majorBidi"/>
          <w:b/>
          <w:bCs/>
          <w:color w:val="365F91" w:themeColor="accent1" w:themeShade="BF"/>
          <w:sz w:val="28"/>
          <w:szCs w:val="28"/>
        </w:rPr>
        <w:t>Scope</w:t>
      </w:r>
      <w:bookmarkEnd w:id="380"/>
      <w:bookmarkEnd w:id="381"/>
      <w:bookmarkEnd w:id="382"/>
      <w:bookmarkEnd w:id="383"/>
      <w:bookmarkEnd w:id="384"/>
      <w:bookmarkEnd w:id="385"/>
      <w:bookmarkEnd w:id="386"/>
      <w:bookmarkEnd w:id="387"/>
      <w:bookmarkEnd w:id="388"/>
    </w:p>
    <w:p w:rsidR="002A2910" w:rsidRPr="002A2910" w:rsidRDefault="002A2910" w:rsidP="002A2910">
      <w:pPr>
        <w:rPr>
          <w:b/>
          <w:sz w:val="22"/>
        </w:rPr>
      </w:pPr>
    </w:p>
    <w:p w:rsidR="002A2910" w:rsidRPr="002A2910" w:rsidRDefault="002A2910" w:rsidP="002A2910">
      <w:pPr>
        <w:rPr>
          <w:sz w:val="22"/>
        </w:rPr>
      </w:pPr>
      <w:r w:rsidRPr="002A2910">
        <w:rPr>
          <w:sz w:val="22"/>
        </w:rPr>
        <w:t xml:space="preserve">The Pilgrim Hospital Emergency Department project is part of a programme of work to improve Urgent and Emergency Care.  It was established by the ULHT Trust Board in 2019 following approval of funding for the work.  </w:t>
      </w:r>
    </w:p>
    <w:p w:rsidR="002A2910" w:rsidRPr="002A2910" w:rsidRDefault="002A2910" w:rsidP="002A2910">
      <w:pPr>
        <w:rPr>
          <w:sz w:val="22"/>
        </w:rPr>
      </w:pPr>
    </w:p>
    <w:p w:rsidR="002A2910" w:rsidRPr="002A2910" w:rsidRDefault="002A2910" w:rsidP="002A2910">
      <w:pPr>
        <w:rPr>
          <w:sz w:val="22"/>
        </w:rPr>
      </w:pPr>
      <w:r w:rsidRPr="002A2910">
        <w:rPr>
          <w:sz w:val="22"/>
        </w:rPr>
        <w:t xml:space="preserve">To ensure progress on the project </w:t>
      </w:r>
      <w:proofErr w:type="gramStart"/>
      <w:r w:rsidRPr="002A2910">
        <w:rPr>
          <w:sz w:val="22"/>
        </w:rPr>
        <w:t>an</w:t>
      </w:r>
      <w:proofErr w:type="gramEnd"/>
      <w:r w:rsidRPr="002A2910">
        <w:rPr>
          <w:sz w:val="22"/>
        </w:rPr>
        <w:t xml:space="preserve"> SRO (the Trusts Director of Improvement and Integration) was put in place, with a supporting Oversight Group of senior leaders in CCG and partner organisations.  A project director (ULHT’s Associate Director of Strategic Projects) was asked to lead the underlying working group.  The reporting governance structure is given below:</w:t>
      </w:r>
    </w:p>
    <w:p w:rsidR="002A2910" w:rsidRPr="002A2910" w:rsidRDefault="002A2910" w:rsidP="002A2910">
      <w:pPr>
        <w:rPr>
          <w:sz w:val="22"/>
        </w:rPr>
      </w:pPr>
    </w:p>
    <w:p w:rsidR="002A2910" w:rsidRPr="002A2910" w:rsidRDefault="002A2910" w:rsidP="002A2910">
      <w:pPr>
        <w:jc w:val="center"/>
        <w:rPr>
          <w:b/>
          <w:sz w:val="22"/>
        </w:rPr>
      </w:pPr>
      <w:r w:rsidRPr="002A2910">
        <w:rPr>
          <w:b/>
          <w:noProof/>
          <w:sz w:val="22"/>
          <w:lang w:eastAsia="en-GB"/>
        </w:rPr>
        <w:drawing>
          <wp:inline distT="0" distB="0" distL="0" distR="0" wp14:anchorId="7E84A0F3" wp14:editId="411F86BC">
            <wp:extent cx="4737100" cy="2914015"/>
            <wp:effectExtent l="0" t="0" r="6350" b="63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37100" cy="2914015"/>
                    </a:xfrm>
                    <a:prstGeom prst="rect">
                      <a:avLst/>
                    </a:prstGeom>
                    <a:noFill/>
                  </pic:spPr>
                </pic:pic>
              </a:graphicData>
            </a:graphic>
          </wp:inline>
        </w:drawing>
      </w:r>
    </w:p>
    <w:p w:rsidR="002A2910" w:rsidRPr="002A2910" w:rsidRDefault="002A2910" w:rsidP="002A2910">
      <w:pPr>
        <w:rPr>
          <w:b/>
          <w:sz w:val="22"/>
        </w:rPr>
      </w:pPr>
    </w:p>
    <w:p w:rsidR="002A2910" w:rsidRPr="002A2910" w:rsidRDefault="002A2910" w:rsidP="002A2910">
      <w:pPr>
        <w:rPr>
          <w:sz w:val="22"/>
        </w:rPr>
      </w:pPr>
      <w:proofErr w:type="spellStart"/>
      <w:r w:rsidRPr="002A2910">
        <w:rPr>
          <w:sz w:val="22"/>
        </w:rPr>
        <w:t>Workstream</w:t>
      </w:r>
      <w:proofErr w:type="spellEnd"/>
      <w:r w:rsidRPr="002A2910">
        <w:rPr>
          <w:sz w:val="22"/>
        </w:rPr>
        <w:t xml:space="preserve"> 4 is one of the five pre-mobilisation </w:t>
      </w:r>
      <w:proofErr w:type="spellStart"/>
      <w:r w:rsidRPr="002A2910">
        <w:rPr>
          <w:sz w:val="22"/>
        </w:rPr>
        <w:t>workstreams</w:t>
      </w:r>
      <w:proofErr w:type="spellEnd"/>
      <w:r w:rsidRPr="002A2910">
        <w:rPr>
          <w:sz w:val="22"/>
        </w:rPr>
        <w:t xml:space="preserve"> reporting to Pilgrim ED oversight Group with an aim to represent all departments and system partners who have direct service requirements/dependencies both clinical and non-clinical.</w:t>
      </w:r>
    </w:p>
    <w:p w:rsidR="002A2910" w:rsidRPr="002A2910" w:rsidRDefault="002A2910" w:rsidP="002A2910">
      <w:pPr>
        <w:rPr>
          <w:sz w:val="22"/>
        </w:rPr>
      </w:pPr>
    </w:p>
    <w:p w:rsidR="002A2910" w:rsidRPr="002A2910" w:rsidRDefault="002A2910" w:rsidP="002A2910">
      <w:pPr>
        <w:rPr>
          <w:sz w:val="22"/>
        </w:rPr>
      </w:pPr>
      <w:r w:rsidRPr="002A2910">
        <w:rPr>
          <w:sz w:val="22"/>
        </w:rPr>
        <w:t>The work stream group will have responsibility and accountability to deliver:</w:t>
      </w:r>
    </w:p>
    <w:p w:rsidR="002A2910" w:rsidRPr="002A2910" w:rsidRDefault="002A2910" w:rsidP="002A2910">
      <w:pPr>
        <w:rPr>
          <w:sz w:val="22"/>
        </w:rPr>
      </w:pPr>
    </w:p>
    <w:p w:rsidR="002A2910" w:rsidRPr="002A2910" w:rsidRDefault="002A2910" w:rsidP="00DF7F41">
      <w:pPr>
        <w:numPr>
          <w:ilvl w:val="0"/>
          <w:numId w:val="91"/>
        </w:numPr>
        <w:contextualSpacing/>
        <w:rPr>
          <w:sz w:val="22"/>
        </w:rPr>
      </w:pPr>
      <w:r w:rsidRPr="002A2910">
        <w:rPr>
          <w:sz w:val="22"/>
        </w:rPr>
        <w:t>Develop the scope, specifications and requirements through an established design team and the contractor;</w:t>
      </w:r>
    </w:p>
    <w:p w:rsidR="002A2910" w:rsidRPr="002A2910" w:rsidRDefault="002A2910" w:rsidP="002A2910">
      <w:pPr>
        <w:ind w:left="1080"/>
        <w:contextualSpacing/>
        <w:rPr>
          <w:sz w:val="22"/>
        </w:rPr>
      </w:pPr>
    </w:p>
    <w:p w:rsidR="002A2910" w:rsidRPr="002A2910" w:rsidRDefault="002A2910" w:rsidP="00DF7F41">
      <w:pPr>
        <w:numPr>
          <w:ilvl w:val="0"/>
          <w:numId w:val="91"/>
        </w:numPr>
        <w:contextualSpacing/>
        <w:rPr>
          <w:sz w:val="22"/>
        </w:rPr>
      </w:pPr>
      <w:r w:rsidRPr="002A2910">
        <w:rPr>
          <w:sz w:val="22"/>
        </w:rPr>
        <w:t>Agree the enabling works options and designs;</w:t>
      </w:r>
    </w:p>
    <w:p w:rsidR="002A2910" w:rsidRPr="002A2910" w:rsidRDefault="002A2910" w:rsidP="002A2910">
      <w:pPr>
        <w:rPr>
          <w:sz w:val="22"/>
        </w:rPr>
      </w:pPr>
    </w:p>
    <w:p w:rsidR="002A2910" w:rsidRPr="002A2910" w:rsidRDefault="002A2910" w:rsidP="00DF7F41">
      <w:pPr>
        <w:numPr>
          <w:ilvl w:val="0"/>
          <w:numId w:val="91"/>
        </w:numPr>
        <w:contextualSpacing/>
        <w:rPr>
          <w:sz w:val="22"/>
        </w:rPr>
      </w:pPr>
      <w:r w:rsidRPr="002A2910">
        <w:rPr>
          <w:sz w:val="22"/>
        </w:rPr>
        <w:t xml:space="preserve">Meet all compliance requirements of the contracting authority </w:t>
      </w:r>
      <w:proofErr w:type="spellStart"/>
      <w:r w:rsidRPr="002A2910">
        <w:rPr>
          <w:sz w:val="22"/>
        </w:rPr>
        <w:t>eg</w:t>
      </w:r>
      <w:proofErr w:type="spellEnd"/>
      <w:r w:rsidRPr="002A2910">
        <w:rPr>
          <w:sz w:val="22"/>
        </w:rPr>
        <w:t xml:space="preserve">. HBN/BREEAM; </w:t>
      </w:r>
    </w:p>
    <w:p w:rsidR="002A2910" w:rsidRPr="002A2910" w:rsidRDefault="002A2910" w:rsidP="002A2910">
      <w:pPr>
        <w:ind w:left="1080"/>
        <w:contextualSpacing/>
        <w:rPr>
          <w:sz w:val="22"/>
        </w:rPr>
      </w:pPr>
    </w:p>
    <w:p w:rsidR="002A2910" w:rsidRPr="002A2910" w:rsidRDefault="002A2910" w:rsidP="00DF7F41">
      <w:pPr>
        <w:numPr>
          <w:ilvl w:val="0"/>
          <w:numId w:val="91"/>
        </w:numPr>
        <w:contextualSpacing/>
        <w:rPr>
          <w:sz w:val="22"/>
        </w:rPr>
      </w:pPr>
      <w:r w:rsidRPr="002A2910">
        <w:rPr>
          <w:sz w:val="22"/>
        </w:rPr>
        <w:t>Ensure Value for money through value engineering.</w:t>
      </w:r>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389" w:name="_Toc100070319"/>
      <w:bookmarkStart w:id="390" w:name="_Toc100307245"/>
      <w:bookmarkStart w:id="391" w:name="_Toc100307393"/>
      <w:bookmarkStart w:id="392" w:name="_Toc100318599"/>
      <w:bookmarkStart w:id="393" w:name="_Toc100320607"/>
      <w:bookmarkStart w:id="394" w:name="_Toc100341089"/>
      <w:bookmarkStart w:id="395" w:name="_Toc100569505"/>
      <w:bookmarkStart w:id="396" w:name="_Toc105493544"/>
      <w:bookmarkStart w:id="397" w:name="_Toc105665269"/>
      <w:r w:rsidRPr="002A2910">
        <w:rPr>
          <w:rFonts w:asciiTheme="majorHAnsi" w:eastAsiaTheme="majorEastAsia" w:hAnsiTheme="majorHAnsi" w:cstheme="majorBidi"/>
          <w:b/>
          <w:bCs/>
          <w:color w:val="365F91" w:themeColor="accent1" w:themeShade="BF"/>
          <w:sz w:val="28"/>
          <w:szCs w:val="28"/>
        </w:rPr>
        <w:t>Membership</w:t>
      </w:r>
      <w:bookmarkEnd w:id="389"/>
      <w:bookmarkEnd w:id="390"/>
      <w:bookmarkEnd w:id="391"/>
      <w:bookmarkEnd w:id="392"/>
      <w:bookmarkEnd w:id="393"/>
      <w:bookmarkEnd w:id="394"/>
      <w:bookmarkEnd w:id="395"/>
      <w:bookmarkEnd w:id="396"/>
      <w:bookmarkEnd w:id="397"/>
    </w:p>
    <w:p w:rsidR="002A2910" w:rsidRPr="002A2910" w:rsidRDefault="002A2910" w:rsidP="002A2910"/>
    <w:tbl>
      <w:tblPr>
        <w:tblW w:w="7045" w:type="dxa"/>
        <w:tblCellMar>
          <w:left w:w="0" w:type="dxa"/>
          <w:right w:w="0" w:type="dxa"/>
        </w:tblCellMar>
        <w:tblLook w:val="04A0" w:firstRow="1" w:lastRow="0" w:firstColumn="1" w:lastColumn="0" w:noHBand="0" w:noVBand="1"/>
      </w:tblPr>
      <w:tblGrid>
        <w:gridCol w:w="4253"/>
        <w:gridCol w:w="2666"/>
        <w:gridCol w:w="126"/>
      </w:tblGrid>
      <w:tr w:rsidR="004F798E" w:rsidRPr="002A2910" w:rsidTr="004F798E">
        <w:trPr>
          <w:trHeight w:val="31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b/>
                <w:bCs/>
                <w:color w:val="000000"/>
              </w:rPr>
            </w:pPr>
            <w:r w:rsidRPr="002A2910">
              <w:rPr>
                <w:rFonts w:cs="Arial"/>
                <w:b/>
                <w:bCs/>
                <w:color w:val="000000"/>
              </w:rPr>
              <w:t>Position</w:t>
            </w:r>
          </w:p>
        </w:tc>
        <w:tc>
          <w:tcPr>
            <w:tcW w:w="2792" w:type="dxa"/>
            <w:gridSpan w:val="2"/>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b/>
                <w:bCs/>
                <w:color w:val="000000"/>
              </w:rPr>
            </w:pPr>
            <w:r w:rsidRPr="002A2910">
              <w:rPr>
                <w:rFonts w:cs="Arial"/>
                <w:b/>
                <w:bCs/>
                <w:color w:val="000000"/>
              </w:rPr>
              <w:t>Organisation</w:t>
            </w: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proofErr w:type="spellStart"/>
            <w:r w:rsidRPr="002A2910">
              <w:rPr>
                <w:rFonts w:cs="Arial"/>
                <w:color w:val="000000"/>
                <w:sz w:val="18"/>
                <w:szCs w:val="18"/>
              </w:rPr>
              <w:t>Workstream</w:t>
            </w:r>
            <w:proofErr w:type="spellEnd"/>
            <w:r w:rsidRPr="002A2910">
              <w:rPr>
                <w:rFonts w:cs="Arial"/>
                <w:color w:val="000000"/>
                <w:sz w:val="18"/>
                <w:szCs w:val="18"/>
              </w:rPr>
              <w:t xml:space="preserve"> 4 SRO</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Strategic Advisor </w:t>
            </w:r>
          </w:p>
        </w:tc>
        <w:tc>
          <w:tcPr>
            <w:tcW w:w="2792" w:type="dxa"/>
            <w:gridSpan w:val="2"/>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Consultant </w:t>
            </w: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Interim Capital Estates</w:t>
            </w:r>
          </w:p>
        </w:tc>
        <w:tc>
          <w:tcPr>
            <w:tcW w:w="2792" w:type="dxa"/>
            <w:gridSpan w:val="2"/>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ULHT</w:t>
            </w: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Procurement </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Procurement</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Matron – Estates &amp; Facilities</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r w:rsidRPr="002A2910">
              <w:rPr>
                <w:rFonts w:cs="Arial"/>
                <w:color w:val="000000"/>
                <w:sz w:val="18"/>
                <w:szCs w:val="18"/>
              </w:rPr>
              <w:t>Kieron Davey</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ULHT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ULHT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Ian Trevor</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Del="0046585D" w:rsidRDefault="004F798E" w:rsidP="002A2910">
            <w:pPr>
              <w:rPr>
                <w:rFonts w:cs="Arial"/>
                <w:color w:val="000000"/>
                <w:sz w:val="18"/>
                <w:szCs w:val="18"/>
              </w:rPr>
            </w:pPr>
            <w:r w:rsidRPr="002A2910">
              <w:rPr>
                <w:rFonts w:cs="Arial"/>
                <w:color w:val="000000"/>
                <w:sz w:val="18"/>
                <w:szCs w:val="18"/>
              </w:rPr>
              <w:t>TBC</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LCHS</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Fred Royales </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Tony Woods</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Communications Officer</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bl>
    <w:p w:rsidR="002A2910" w:rsidRPr="002A2910" w:rsidRDefault="002A2910" w:rsidP="002A2910">
      <w:pPr>
        <w:rPr>
          <w:sz w:val="22"/>
        </w:rPr>
      </w:pPr>
      <w:r w:rsidRPr="002A2910" w:rsidDel="00D41AB7">
        <w:rPr>
          <w:sz w:val="22"/>
        </w:rPr>
        <w:t xml:space="preserve"> </w:t>
      </w:r>
    </w:p>
    <w:p w:rsidR="002A2910" w:rsidRPr="002A2910" w:rsidRDefault="002A2910" w:rsidP="002A2910">
      <w:pPr>
        <w:contextualSpacing/>
        <w:rPr>
          <w:sz w:val="22"/>
        </w:rPr>
      </w:pPr>
      <w:r w:rsidRPr="002A2910">
        <w:rPr>
          <w:sz w:val="22"/>
        </w:rPr>
        <w:t xml:space="preserve">It is expected that members attend and when unable they will send a fully briefed deputy, who will be responsible for the communication within their respective division/Department. </w:t>
      </w:r>
    </w:p>
    <w:p w:rsidR="002A2910" w:rsidRPr="002A2910" w:rsidRDefault="002A2910" w:rsidP="002A2910">
      <w:pPr>
        <w:contextualSpacing/>
        <w:rPr>
          <w:sz w:val="22"/>
        </w:rPr>
      </w:pPr>
    </w:p>
    <w:p w:rsidR="002A2910" w:rsidRPr="002A2910" w:rsidRDefault="002A2910" w:rsidP="002A2910">
      <w:pPr>
        <w:contextualSpacing/>
        <w:rPr>
          <w:sz w:val="22"/>
        </w:rPr>
      </w:pPr>
      <w:r w:rsidRPr="002A2910">
        <w:rPr>
          <w:sz w:val="22"/>
        </w:rPr>
        <w:t>The group will be expected to grow/reduce as decided by the Lead SRO dependent on priority of proposals.</w:t>
      </w:r>
    </w:p>
    <w:p w:rsidR="002A2910" w:rsidRPr="002A2910" w:rsidRDefault="002A2910" w:rsidP="002A2910">
      <w:pPr>
        <w:contextualSpacing/>
        <w:rPr>
          <w:sz w:val="22"/>
        </w:rPr>
      </w:pPr>
    </w:p>
    <w:p w:rsidR="002A2910" w:rsidRPr="002A2910" w:rsidRDefault="002A2910" w:rsidP="002A2910">
      <w:pPr>
        <w:contextualSpacing/>
        <w:rPr>
          <w:sz w:val="22"/>
        </w:rPr>
      </w:pPr>
      <w:r w:rsidRPr="002A2910">
        <w:rPr>
          <w:sz w:val="22"/>
        </w:rPr>
        <w:t>It is the responsibility and kindly requested of each of the attendees to provide regular updates to their respective internal departments and staff colleagues and all general communication to be agreed by Communication department.</w:t>
      </w:r>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398" w:name="_Toc100070320"/>
      <w:bookmarkStart w:id="399" w:name="_Toc100307246"/>
      <w:bookmarkStart w:id="400" w:name="_Toc100307394"/>
      <w:bookmarkStart w:id="401" w:name="_Toc100318600"/>
      <w:bookmarkStart w:id="402" w:name="_Toc100320608"/>
      <w:bookmarkStart w:id="403" w:name="_Toc100341090"/>
      <w:bookmarkStart w:id="404" w:name="_Toc100569506"/>
      <w:bookmarkStart w:id="405" w:name="_Toc105493545"/>
      <w:bookmarkStart w:id="406" w:name="_Toc105665270"/>
      <w:r w:rsidRPr="002A2910">
        <w:rPr>
          <w:rFonts w:asciiTheme="majorHAnsi" w:eastAsiaTheme="majorEastAsia" w:hAnsiTheme="majorHAnsi" w:cstheme="majorBidi"/>
          <w:b/>
          <w:bCs/>
          <w:color w:val="365F91" w:themeColor="accent1" w:themeShade="BF"/>
          <w:sz w:val="28"/>
          <w:szCs w:val="28"/>
        </w:rPr>
        <w:t>Quorate</w:t>
      </w:r>
      <w:bookmarkEnd w:id="398"/>
      <w:bookmarkEnd w:id="399"/>
      <w:bookmarkEnd w:id="400"/>
      <w:bookmarkEnd w:id="401"/>
      <w:bookmarkEnd w:id="402"/>
      <w:bookmarkEnd w:id="403"/>
      <w:bookmarkEnd w:id="404"/>
      <w:bookmarkEnd w:id="405"/>
      <w:bookmarkEnd w:id="406"/>
    </w:p>
    <w:p w:rsidR="002A2910" w:rsidRPr="002A2910" w:rsidRDefault="002A2910" w:rsidP="002A2910">
      <w:pPr>
        <w:rPr>
          <w:sz w:val="22"/>
        </w:rPr>
      </w:pPr>
    </w:p>
    <w:p w:rsidR="002A2910" w:rsidRPr="002A2910" w:rsidRDefault="002A2910" w:rsidP="002A2910">
      <w:pPr>
        <w:rPr>
          <w:sz w:val="22"/>
        </w:rPr>
      </w:pPr>
      <w:r w:rsidRPr="002A2910">
        <w:rPr>
          <w:sz w:val="22"/>
        </w:rPr>
        <w:t xml:space="preserve">Meetings will be considered quorate as a minimum the chair, or representative, nursing and estates.  </w:t>
      </w:r>
    </w:p>
    <w:p w:rsidR="002A2910" w:rsidRPr="002A2910" w:rsidRDefault="002A2910" w:rsidP="002A2910">
      <w:pPr>
        <w:rPr>
          <w:sz w:val="22"/>
        </w:rPr>
      </w:pPr>
    </w:p>
    <w:p w:rsidR="002A2910" w:rsidRPr="002A2910" w:rsidRDefault="002A2910" w:rsidP="002A2910">
      <w:pPr>
        <w:rPr>
          <w:sz w:val="22"/>
        </w:rPr>
      </w:pPr>
      <w:r w:rsidRPr="002A2910">
        <w:rPr>
          <w:sz w:val="22"/>
        </w:rPr>
        <w:t xml:space="preserve">The </w:t>
      </w:r>
      <w:proofErr w:type="spellStart"/>
      <w:r w:rsidRPr="002A2910">
        <w:rPr>
          <w:sz w:val="22"/>
        </w:rPr>
        <w:t>workstream</w:t>
      </w:r>
      <w:proofErr w:type="spellEnd"/>
      <w:r w:rsidRPr="002A2910">
        <w:rPr>
          <w:sz w:val="22"/>
        </w:rPr>
        <w:t xml:space="preserve"> reports into this Group for discussion/awareness/sign off. Monthly reports will be submitted to Trust Board and regular updates to </w:t>
      </w:r>
      <w:proofErr w:type="gramStart"/>
      <w:r w:rsidRPr="002A2910">
        <w:rPr>
          <w:sz w:val="22"/>
        </w:rPr>
        <w:t>NHSE/I</w:t>
      </w:r>
      <w:proofErr w:type="gramEnd"/>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2"/>
          <w:szCs w:val="28"/>
        </w:rPr>
      </w:pPr>
      <w:bookmarkStart w:id="407" w:name="_Toc100070321"/>
      <w:bookmarkStart w:id="408" w:name="_Toc100307247"/>
      <w:bookmarkStart w:id="409" w:name="_Toc100307395"/>
      <w:bookmarkStart w:id="410" w:name="_Toc100318601"/>
      <w:bookmarkStart w:id="411" w:name="_Toc100320609"/>
      <w:bookmarkStart w:id="412" w:name="_Toc100341091"/>
      <w:bookmarkStart w:id="413" w:name="_Toc100569507"/>
      <w:bookmarkStart w:id="414" w:name="_Toc105493546"/>
      <w:bookmarkStart w:id="415" w:name="_Toc105665271"/>
      <w:r w:rsidRPr="002A2910">
        <w:rPr>
          <w:rFonts w:asciiTheme="majorHAnsi" w:hAnsiTheme="majorHAnsi" w:cstheme="majorBidi"/>
          <w:b/>
          <w:bCs/>
          <w:color w:val="365F91" w:themeColor="accent1" w:themeShade="BF"/>
          <w:sz w:val="28"/>
          <w:szCs w:val="28"/>
        </w:rPr>
        <w:t>Frequency</w:t>
      </w:r>
      <w:bookmarkEnd w:id="407"/>
      <w:bookmarkEnd w:id="408"/>
      <w:bookmarkEnd w:id="409"/>
      <w:bookmarkEnd w:id="410"/>
      <w:bookmarkEnd w:id="411"/>
      <w:bookmarkEnd w:id="412"/>
      <w:bookmarkEnd w:id="413"/>
      <w:bookmarkEnd w:id="414"/>
      <w:bookmarkEnd w:id="415"/>
    </w:p>
    <w:p w:rsidR="002A2910" w:rsidRPr="002A2910" w:rsidRDefault="002A2910" w:rsidP="002A2910">
      <w:pPr>
        <w:rPr>
          <w:sz w:val="22"/>
        </w:rPr>
      </w:pPr>
    </w:p>
    <w:p w:rsidR="002A2910" w:rsidRPr="002A2910" w:rsidRDefault="002A2910" w:rsidP="002A2910">
      <w:pPr>
        <w:rPr>
          <w:sz w:val="22"/>
        </w:rPr>
      </w:pPr>
      <w:r w:rsidRPr="002A2910">
        <w:rPr>
          <w:sz w:val="22"/>
        </w:rPr>
        <w:t>The meeting will meet fortnightly. Use of Microsoft teams will be available to all sites.</w:t>
      </w:r>
    </w:p>
    <w:p w:rsidR="002A2910" w:rsidRPr="002A2910" w:rsidRDefault="002A2910" w:rsidP="002A2910">
      <w:pPr>
        <w:rPr>
          <w:sz w:val="22"/>
        </w:rPr>
      </w:pPr>
    </w:p>
    <w:p w:rsidR="002A2910" w:rsidRDefault="002A2910">
      <w:pPr>
        <w:spacing w:after="200" w:line="276" w:lineRule="auto"/>
        <w:rPr>
          <w:lang w:eastAsia="en-GB"/>
        </w:rPr>
      </w:pPr>
      <w:r>
        <w:rPr>
          <w:lang w:eastAsia="en-GB"/>
        </w:rPr>
        <w:lastRenderedPageBreak/>
        <w:br w:type="page"/>
      </w:r>
    </w:p>
    <w:p w:rsidR="002A2910" w:rsidRPr="002A2910" w:rsidRDefault="002A2910" w:rsidP="002A2910">
      <w:pPr>
        <w:pBdr>
          <w:bottom w:val="single" w:sz="6" w:space="1" w:color="auto"/>
        </w:pBdr>
      </w:pPr>
    </w:p>
    <w:p w:rsidR="002A2910" w:rsidRPr="002A2910" w:rsidRDefault="002A2910" w:rsidP="002A2910"/>
    <w:p w:rsidR="002A2910" w:rsidRPr="002A2910" w:rsidRDefault="002A2910" w:rsidP="002A2910">
      <w:pPr>
        <w:jc w:val="center"/>
        <w:rPr>
          <w:b/>
          <w:sz w:val="36"/>
        </w:rPr>
      </w:pPr>
      <w:r w:rsidRPr="002A2910">
        <w:rPr>
          <w:b/>
          <w:sz w:val="36"/>
        </w:rPr>
        <w:t>Terms of Reference</w:t>
      </w:r>
    </w:p>
    <w:p w:rsidR="002A2910" w:rsidRPr="002A2910" w:rsidRDefault="002A2910" w:rsidP="002A2910">
      <w:pPr>
        <w:jc w:val="center"/>
        <w:rPr>
          <w:sz w:val="36"/>
        </w:rPr>
      </w:pPr>
    </w:p>
    <w:p w:rsidR="002A2910" w:rsidRPr="002A2910" w:rsidRDefault="002A2910" w:rsidP="002A2910">
      <w:pPr>
        <w:pBdr>
          <w:bottom w:val="single" w:sz="8" w:space="4" w:color="4F81BD" w:themeColor="accent1"/>
        </w:pBdr>
        <w:spacing w:after="300"/>
        <w:contextualSpacing/>
        <w:jc w:val="center"/>
        <w:rPr>
          <w:rFonts w:asciiTheme="majorHAnsi" w:eastAsiaTheme="majorEastAsia" w:hAnsiTheme="majorHAnsi" w:cstheme="majorBidi"/>
          <w:color w:val="17365D" w:themeColor="text2" w:themeShade="BF"/>
          <w:spacing w:val="5"/>
          <w:kern w:val="28"/>
          <w:sz w:val="52"/>
          <w:szCs w:val="52"/>
        </w:rPr>
      </w:pPr>
      <w:r w:rsidRPr="002A2910">
        <w:rPr>
          <w:rFonts w:asciiTheme="majorHAnsi" w:eastAsiaTheme="majorEastAsia" w:hAnsiTheme="majorHAnsi" w:cstheme="majorBidi"/>
          <w:color w:val="17365D" w:themeColor="text2" w:themeShade="BF"/>
          <w:spacing w:val="5"/>
          <w:kern w:val="28"/>
          <w:sz w:val="52"/>
          <w:szCs w:val="52"/>
        </w:rPr>
        <w:t>The Pilgrim ED Oversight Group – Work Stream 5 – FBC Preparation and Submission</w:t>
      </w:r>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416" w:name="_Toc100070322"/>
      <w:bookmarkStart w:id="417" w:name="_Toc100307248"/>
      <w:bookmarkStart w:id="418" w:name="_Toc100307396"/>
      <w:bookmarkStart w:id="419" w:name="_Toc100318602"/>
      <w:bookmarkStart w:id="420" w:name="_Toc100320610"/>
      <w:bookmarkStart w:id="421" w:name="_Toc100341092"/>
      <w:bookmarkStart w:id="422" w:name="_Toc100569508"/>
      <w:bookmarkStart w:id="423" w:name="_Toc105493547"/>
      <w:bookmarkStart w:id="424" w:name="_Toc105665272"/>
      <w:r w:rsidRPr="002A2910">
        <w:rPr>
          <w:rFonts w:asciiTheme="majorHAnsi" w:eastAsiaTheme="majorEastAsia" w:hAnsiTheme="majorHAnsi" w:cstheme="majorBidi"/>
          <w:b/>
          <w:bCs/>
          <w:color w:val="365F91" w:themeColor="accent1" w:themeShade="BF"/>
          <w:sz w:val="28"/>
          <w:szCs w:val="28"/>
        </w:rPr>
        <w:t>Scope</w:t>
      </w:r>
      <w:bookmarkEnd w:id="416"/>
      <w:bookmarkEnd w:id="417"/>
      <w:bookmarkEnd w:id="418"/>
      <w:bookmarkEnd w:id="419"/>
      <w:bookmarkEnd w:id="420"/>
      <w:bookmarkEnd w:id="421"/>
      <w:bookmarkEnd w:id="422"/>
      <w:bookmarkEnd w:id="423"/>
      <w:bookmarkEnd w:id="424"/>
    </w:p>
    <w:p w:rsidR="002A2910" w:rsidRPr="002A2910" w:rsidRDefault="002A2910" w:rsidP="002A2910">
      <w:pPr>
        <w:rPr>
          <w:b/>
          <w:sz w:val="22"/>
        </w:rPr>
      </w:pPr>
    </w:p>
    <w:p w:rsidR="002A2910" w:rsidRPr="002A2910" w:rsidRDefault="002A2910" w:rsidP="002A2910">
      <w:pPr>
        <w:rPr>
          <w:sz w:val="22"/>
        </w:rPr>
      </w:pPr>
      <w:r w:rsidRPr="002A2910">
        <w:rPr>
          <w:sz w:val="22"/>
        </w:rPr>
        <w:t xml:space="preserve">The Pilgrim Hospital Emergency Department project is part of a programme of work to improve Urgent and Emergency Care.  It was established by the ULHT Trust Board in 2019 following approval of funding for the work.  </w:t>
      </w:r>
    </w:p>
    <w:p w:rsidR="002A2910" w:rsidRPr="002A2910" w:rsidRDefault="002A2910" w:rsidP="002A2910">
      <w:pPr>
        <w:rPr>
          <w:sz w:val="22"/>
        </w:rPr>
      </w:pPr>
    </w:p>
    <w:p w:rsidR="002A2910" w:rsidRPr="002A2910" w:rsidRDefault="002A2910" w:rsidP="002A2910">
      <w:pPr>
        <w:rPr>
          <w:sz w:val="22"/>
        </w:rPr>
      </w:pPr>
      <w:r w:rsidRPr="002A2910">
        <w:rPr>
          <w:sz w:val="22"/>
        </w:rPr>
        <w:t xml:space="preserve">To ensure progress on the project </w:t>
      </w:r>
      <w:proofErr w:type="gramStart"/>
      <w:r w:rsidRPr="002A2910">
        <w:rPr>
          <w:sz w:val="22"/>
        </w:rPr>
        <w:t>an</w:t>
      </w:r>
      <w:proofErr w:type="gramEnd"/>
      <w:r w:rsidRPr="002A2910">
        <w:rPr>
          <w:sz w:val="22"/>
        </w:rPr>
        <w:t xml:space="preserve"> SRO (the Trusts Director of Improvement and Integration) was put in place, with a supporting Oversight Group of senior leaders in CCG and partner organisations.  A project director (ULHT’s Associate Director of Strategic Projects) was asked to lead the underlying working group.  The reporting governance structure is given below:</w:t>
      </w:r>
    </w:p>
    <w:p w:rsidR="002A2910" w:rsidRPr="002A2910" w:rsidRDefault="002A2910" w:rsidP="002A2910">
      <w:pPr>
        <w:rPr>
          <w:sz w:val="22"/>
        </w:rPr>
      </w:pPr>
    </w:p>
    <w:p w:rsidR="002A2910" w:rsidRPr="002A2910" w:rsidRDefault="002A2910" w:rsidP="002A2910">
      <w:pPr>
        <w:jc w:val="center"/>
        <w:rPr>
          <w:sz w:val="22"/>
        </w:rPr>
      </w:pPr>
      <w:r w:rsidRPr="002A2910">
        <w:rPr>
          <w:noProof/>
          <w:sz w:val="22"/>
          <w:lang w:eastAsia="en-GB"/>
        </w:rPr>
        <w:drawing>
          <wp:inline distT="0" distB="0" distL="0" distR="0" wp14:anchorId="2CA8789B" wp14:editId="56279D03">
            <wp:extent cx="4737100" cy="2914015"/>
            <wp:effectExtent l="0" t="0" r="6350" b="63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37100" cy="2914015"/>
                    </a:xfrm>
                    <a:prstGeom prst="rect">
                      <a:avLst/>
                    </a:prstGeom>
                    <a:noFill/>
                  </pic:spPr>
                </pic:pic>
              </a:graphicData>
            </a:graphic>
          </wp:inline>
        </w:drawing>
      </w:r>
    </w:p>
    <w:p w:rsidR="002A2910" w:rsidRPr="002A2910" w:rsidRDefault="002A2910" w:rsidP="002A2910">
      <w:pPr>
        <w:rPr>
          <w:sz w:val="22"/>
        </w:rPr>
      </w:pPr>
    </w:p>
    <w:p w:rsidR="002A2910" w:rsidRPr="002A2910" w:rsidRDefault="002A2910" w:rsidP="002A2910">
      <w:pPr>
        <w:rPr>
          <w:sz w:val="22"/>
        </w:rPr>
      </w:pPr>
      <w:proofErr w:type="spellStart"/>
      <w:r w:rsidRPr="002A2910">
        <w:rPr>
          <w:sz w:val="22"/>
        </w:rPr>
        <w:t>Workstream</w:t>
      </w:r>
      <w:proofErr w:type="spellEnd"/>
      <w:r w:rsidRPr="002A2910">
        <w:rPr>
          <w:sz w:val="22"/>
        </w:rPr>
        <w:t xml:space="preserve"> 5 is final piece of the pre-mobilisation work involved in developing the Pilgrim Hospital ED Project.  The group reports to the project working group with an aim to represent all departments and system partners who have direct service requirements / dependencies both clinical and non-clinical.</w:t>
      </w:r>
    </w:p>
    <w:p w:rsidR="002A2910" w:rsidRPr="002A2910" w:rsidRDefault="002A2910" w:rsidP="002A2910">
      <w:pPr>
        <w:rPr>
          <w:sz w:val="22"/>
        </w:rPr>
      </w:pPr>
    </w:p>
    <w:p w:rsidR="002A2910" w:rsidRPr="002A2910" w:rsidRDefault="002A2910" w:rsidP="002A2910">
      <w:pPr>
        <w:rPr>
          <w:sz w:val="22"/>
        </w:rPr>
      </w:pPr>
      <w:r w:rsidRPr="002A2910">
        <w:rPr>
          <w:sz w:val="22"/>
        </w:rPr>
        <w:t xml:space="preserve">The </w:t>
      </w:r>
      <w:proofErr w:type="spellStart"/>
      <w:r w:rsidRPr="002A2910">
        <w:rPr>
          <w:sz w:val="22"/>
        </w:rPr>
        <w:t>workstream</w:t>
      </w:r>
      <w:proofErr w:type="spellEnd"/>
      <w:r w:rsidRPr="002A2910">
        <w:rPr>
          <w:sz w:val="22"/>
        </w:rPr>
        <w:t xml:space="preserve"> will have responsibility and accountability to deliver:</w:t>
      </w:r>
    </w:p>
    <w:p w:rsidR="002A2910" w:rsidRPr="002A2910" w:rsidRDefault="002A2910" w:rsidP="002A2910">
      <w:pPr>
        <w:rPr>
          <w:sz w:val="22"/>
        </w:rPr>
      </w:pPr>
    </w:p>
    <w:p w:rsidR="002A2910" w:rsidRPr="002A2910" w:rsidRDefault="002A2910" w:rsidP="00DF7F41">
      <w:pPr>
        <w:numPr>
          <w:ilvl w:val="0"/>
          <w:numId w:val="92"/>
        </w:numPr>
        <w:contextualSpacing/>
        <w:rPr>
          <w:sz w:val="22"/>
        </w:rPr>
      </w:pPr>
      <w:r w:rsidRPr="002A2910">
        <w:rPr>
          <w:sz w:val="22"/>
        </w:rPr>
        <w:t xml:space="preserve">Consolidation of other </w:t>
      </w:r>
      <w:proofErr w:type="spellStart"/>
      <w:r w:rsidRPr="002A2910">
        <w:rPr>
          <w:sz w:val="22"/>
        </w:rPr>
        <w:t>workstream</w:t>
      </w:r>
      <w:proofErr w:type="spellEnd"/>
      <w:r w:rsidRPr="002A2910">
        <w:rPr>
          <w:sz w:val="22"/>
        </w:rPr>
        <w:t xml:space="preserve"> deliverables in support of the FBC;</w:t>
      </w:r>
    </w:p>
    <w:p w:rsidR="002A2910" w:rsidRPr="002A2910" w:rsidRDefault="002A2910" w:rsidP="002A2910">
      <w:pPr>
        <w:ind w:left="1080"/>
        <w:contextualSpacing/>
        <w:rPr>
          <w:sz w:val="22"/>
        </w:rPr>
      </w:pPr>
    </w:p>
    <w:p w:rsidR="002A2910" w:rsidRPr="002A2910" w:rsidRDefault="002A2910" w:rsidP="00DF7F41">
      <w:pPr>
        <w:numPr>
          <w:ilvl w:val="0"/>
          <w:numId w:val="92"/>
        </w:numPr>
        <w:contextualSpacing/>
        <w:rPr>
          <w:sz w:val="22"/>
        </w:rPr>
      </w:pPr>
      <w:r w:rsidRPr="002A2910">
        <w:rPr>
          <w:sz w:val="22"/>
        </w:rPr>
        <w:t>To develop the FBC to a high standard, taking advice from HM Treasuries Green Book and supporting guidance;</w:t>
      </w:r>
    </w:p>
    <w:p w:rsidR="002A2910" w:rsidRPr="002A2910" w:rsidRDefault="002A2910" w:rsidP="002A2910">
      <w:pPr>
        <w:ind w:left="1080"/>
        <w:contextualSpacing/>
        <w:rPr>
          <w:sz w:val="22"/>
        </w:rPr>
      </w:pPr>
    </w:p>
    <w:p w:rsidR="002A2910" w:rsidRPr="002A2910" w:rsidRDefault="002A2910" w:rsidP="00DF7F41">
      <w:pPr>
        <w:numPr>
          <w:ilvl w:val="0"/>
          <w:numId w:val="92"/>
        </w:numPr>
        <w:contextualSpacing/>
        <w:rPr>
          <w:sz w:val="22"/>
        </w:rPr>
      </w:pPr>
      <w:r w:rsidRPr="002A2910">
        <w:rPr>
          <w:sz w:val="22"/>
        </w:rPr>
        <w:t>To provide regular updates of progress on the FBC to the Working Group for upward submission to the Oversight Group and SRO;</w:t>
      </w:r>
    </w:p>
    <w:p w:rsidR="002A2910" w:rsidRPr="002A2910" w:rsidRDefault="002A2910" w:rsidP="002A2910">
      <w:pPr>
        <w:rPr>
          <w:sz w:val="22"/>
        </w:rPr>
      </w:pPr>
    </w:p>
    <w:p w:rsidR="002A2910" w:rsidRPr="002A2910" w:rsidRDefault="002A2910" w:rsidP="00DF7F41">
      <w:pPr>
        <w:numPr>
          <w:ilvl w:val="0"/>
          <w:numId w:val="92"/>
        </w:numPr>
        <w:contextualSpacing/>
        <w:rPr>
          <w:sz w:val="22"/>
        </w:rPr>
      </w:pPr>
      <w:r w:rsidRPr="002A2910">
        <w:rPr>
          <w:sz w:val="22"/>
        </w:rPr>
        <w:t>Finalise and submit the FBC for approval through the Trust governance processes.</w:t>
      </w:r>
    </w:p>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425" w:name="_Toc100070323"/>
      <w:bookmarkStart w:id="426" w:name="_Toc100307249"/>
      <w:bookmarkStart w:id="427" w:name="_Toc100307397"/>
      <w:bookmarkStart w:id="428" w:name="_Toc100318603"/>
      <w:bookmarkStart w:id="429" w:name="_Toc100320611"/>
      <w:bookmarkStart w:id="430" w:name="_Toc100341093"/>
      <w:bookmarkStart w:id="431" w:name="_Toc100569509"/>
      <w:bookmarkStart w:id="432" w:name="_Toc105493548"/>
      <w:bookmarkStart w:id="433" w:name="_Toc105665273"/>
      <w:r w:rsidRPr="002A2910">
        <w:rPr>
          <w:rFonts w:asciiTheme="majorHAnsi" w:eastAsiaTheme="majorEastAsia" w:hAnsiTheme="majorHAnsi" w:cstheme="majorBidi"/>
          <w:b/>
          <w:bCs/>
          <w:color w:val="365F91" w:themeColor="accent1" w:themeShade="BF"/>
          <w:sz w:val="28"/>
          <w:szCs w:val="28"/>
        </w:rPr>
        <w:t>Membership</w:t>
      </w:r>
      <w:bookmarkEnd w:id="425"/>
      <w:bookmarkEnd w:id="426"/>
      <w:bookmarkEnd w:id="427"/>
      <w:bookmarkEnd w:id="428"/>
      <w:bookmarkEnd w:id="429"/>
      <w:bookmarkEnd w:id="430"/>
      <w:bookmarkEnd w:id="431"/>
      <w:bookmarkEnd w:id="432"/>
      <w:bookmarkEnd w:id="433"/>
    </w:p>
    <w:p w:rsidR="002A2910" w:rsidRPr="002A2910" w:rsidRDefault="002A2910" w:rsidP="002A2910"/>
    <w:tbl>
      <w:tblPr>
        <w:tblW w:w="7045" w:type="dxa"/>
        <w:tblCellMar>
          <w:left w:w="0" w:type="dxa"/>
          <w:right w:w="0" w:type="dxa"/>
        </w:tblCellMar>
        <w:tblLook w:val="04A0" w:firstRow="1" w:lastRow="0" w:firstColumn="1" w:lastColumn="0" w:noHBand="0" w:noVBand="1"/>
      </w:tblPr>
      <w:tblGrid>
        <w:gridCol w:w="4253"/>
        <w:gridCol w:w="2666"/>
        <w:gridCol w:w="126"/>
      </w:tblGrid>
      <w:tr w:rsidR="004F798E" w:rsidRPr="002A2910" w:rsidTr="004F798E">
        <w:trPr>
          <w:trHeight w:val="31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b/>
                <w:bCs/>
                <w:color w:val="000000"/>
              </w:rPr>
            </w:pPr>
            <w:r w:rsidRPr="002A2910">
              <w:rPr>
                <w:rFonts w:cs="Arial"/>
                <w:b/>
                <w:bCs/>
                <w:color w:val="000000"/>
              </w:rPr>
              <w:t>Position</w:t>
            </w:r>
          </w:p>
        </w:tc>
        <w:tc>
          <w:tcPr>
            <w:tcW w:w="2792" w:type="dxa"/>
            <w:gridSpan w:val="2"/>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b/>
                <w:bCs/>
                <w:color w:val="000000"/>
              </w:rPr>
            </w:pPr>
            <w:r w:rsidRPr="002A2910">
              <w:rPr>
                <w:rFonts w:cs="Arial"/>
                <w:b/>
                <w:bCs/>
                <w:color w:val="000000"/>
              </w:rPr>
              <w:t>Organisation</w:t>
            </w: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proofErr w:type="spellStart"/>
            <w:r w:rsidRPr="002A2910">
              <w:rPr>
                <w:rFonts w:cs="Arial"/>
                <w:color w:val="000000"/>
                <w:sz w:val="18"/>
                <w:szCs w:val="18"/>
              </w:rPr>
              <w:t>Workstream</w:t>
            </w:r>
            <w:proofErr w:type="spellEnd"/>
            <w:r w:rsidRPr="002A2910">
              <w:rPr>
                <w:rFonts w:cs="Arial"/>
                <w:color w:val="000000"/>
                <w:sz w:val="18"/>
                <w:szCs w:val="18"/>
              </w:rPr>
              <w:t xml:space="preserve"> 5 SRO</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Strategic Advisor </w:t>
            </w:r>
          </w:p>
        </w:tc>
        <w:tc>
          <w:tcPr>
            <w:tcW w:w="2792" w:type="dxa"/>
            <w:gridSpan w:val="2"/>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Consultant </w:t>
            </w: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Business Case Manager</w:t>
            </w:r>
          </w:p>
        </w:tc>
        <w:tc>
          <w:tcPr>
            <w:tcW w:w="2792" w:type="dxa"/>
            <w:gridSpan w:val="2"/>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ULHT</w:t>
            </w: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Interim Capital Estates</w:t>
            </w:r>
          </w:p>
        </w:tc>
        <w:tc>
          <w:tcPr>
            <w:tcW w:w="2792" w:type="dxa"/>
            <w:gridSpan w:val="2"/>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ULHT</w:t>
            </w: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Procurement </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Procurement</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Matron – Estates &amp; Facilities</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r w:rsidRPr="002A2910">
              <w:rPr>
                <w:rFonts w:cs="Arial"/>
                <w:color w:val="000000"/>
                <w:sz w:val="18"/>
                <w:szCs w:val="18"/>
              </w:rPr>
              <w:t>Kieron Davey</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ULHT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 xml:space="preserve">ULHT </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Ian Rushton</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15" w:type="dxa"/>
              <w:left w:w="15" w:type="dxa"/>
              <w:bottom w:w="0" w:type="dxa"/>
              <w:right w:w="15" w:type="dxa"/>
            </w:tcMar>
            <w:vAlign w:val="center"/>
          </w:tcPr>
          <w:p w:rsidR="004F798E" w:rsidRPr="002A2910" w:rsidRDefault="004F798E" w:rsidP="002A2910">
            <w:pPr>
              <w:rPr>
                <w:rFonts w:cs="Arial"/>
                <w:color w:val="000000"/>
                <w:sz w:val="18"/>
                <w:szCs w:val="18"/>
              </w:rPr>
            </w:pPr>
            <w:r w:rsidRPr="002A2910">
              <w:rPr>
                <w:rFonts w:cs="Arial"/>
                <w:color w:val="000000"/>
                <w:sz w:val="18"/>
                <w:szCs w:val="18"/>
              </w:rPr>
              <w:t>TBC</w:t>
            </w:r>
          </w:p>
        </w:tc>
        <w:tc>
          <w:tcPr>
            <w:tcW w:w="2666" w:type="dxa"/>
            <w:tcBorders>
              <w:top w:val="nil"/>
              <w:left w:val="nil"/>
              <w:bottom w:val="nil"/>
              <w:right w:val="nil"/>
            </w:tcBorders>
            <w:shd w:val="clear" w:color="auto" w:fill="auto"/>
            <w:noWrap/>
            <w:tcMar>
              <w:top w:w="15" w:type="dxa"/>
              <w:left w:w="15" w:type="dxa"/>
              <w:bottom w:w="0" w:type="dxa"/>
              <w:right w:w="15" w:type="dxa"/>
            </w:tcMar>
            <w:vAlign w:val="center"/>
          </w:tcPr>
          <w:p w:rsidR="004F798E" w:rsidRPr="002A2910" w:rsidRDefault="004F798E" w:rsidP="002A2910">
            <w:pPr>
              <w:rPr>
                <w:rFonts w:cs="Arial"/>
                <w:color w:val="000000"/>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Communications Officer</w:t>
            </w:r>
          </w:p>
        </w:tc>
        <w:tc>
          <w:tcPr>
            <w:tcW w:w="2666" w:type="dxa"/>
            <w:tcBorders>
              <w:top w:val="nil"/>
              <w:left w:val="nil"/>
              <w:bottom w:val="nil"/>
              <w:right w:val="nil"/>
            </w:tcBorders>
            <w:shd w:val="clear" w:color="auto" w:fill="auto"/>
            <w:noWrap/>
            <w:tcMar>
              <w:top w:w="0" w:type="dxa"/>
              <w:left w:w="15" w:type="dxa"/>
              <w:bottom w:w="0" w:type="dxa"/>
              <w:right w:w="15" w:type="dxa"/>
            </w:tcMar>
            <w:vAlign w:val="center"/>
            <w:hideMark/>
          </w:tcPr>
          <w:p w:rsidR="004F798E" w:rsidRPr="002A2910" w:rsidRDefault="004F798E" w:rsidP="002A2910">
            <w:pPr>
              <w:rPr>
                <w:rFonts w:cs="Arial"/>
                <w:color w:val="000000"/>
                <w:sz w:val="18"/>
                <w:szCs w:val="18"/>
              </w:rPr>
            </w:pPr>
            <w:r w:rsidRPr="002A2910">
              <w:rPr>
                <w:rFonts w:cs="Arial"/>
                <w:color w:val="000000"/>
                <w:sz w:val="18"/>
                <w:szCs w:val="18"/>
              </w:rPr>
              <w:t>ULHT</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4F798E" w:rsidRPr="002A2910" w:rsidRDefault="004F798E" w:rsidP="002A2910">
            <w:pPr>
              <w:rPr>
                <w:rFonts w:cs="Arial"/>
                <w:color w:val="000000"/>
                <w:sz w:val="18"/>
                <w:szCs w:val="18"/>
              </w:rPr>
            </w:pPr>
          </w:p>
        </w:tc>
      </w:tr>
      <w:tr w:rsidR="004F798E" w:rsidRPr="002A2910" w:rsidTr="004F798E">
        <w:trPr>
          <w:trHeight w:val="290"/>
        </w:trPr>
        <w:tc>
          <w:tcPr>
            <w:tcW w:w="4253" w:type="dxa"/>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p>
        </w:tc>
        <w:tc>
          <w:tcPr>
            <w:tcW w:w="2666" w:type="dxa"/>
            <w:tcBorders>
              <w:top w:val="nil"/>
              <w:left w:val="nil"/>
              <w:bottom w:val="nil"/>
              <w:right w:val="nil"/>
            </w:tcBorders>
            <w:shd w:val="clear" w:color="auto" w:fill="auto"/>
            <w:noWrap/>
            <w:tcMar>
              <w:top w:w="0" w:type="dxa"/>
              <w:left w:w="15" w:type="dxa"/>
              <w:bottom w:w="0" w:type="dxa"/>
              <w:right w:w="15" w:type="dxa"/>
            </w:tcMar>
            <w:vAlign w:val="center"/>
          </w:tcPr>
          <w:p w:rsidR="004F798E" w:rsidRPr="002A2910" w:rsidRDefault="004F798E" w:rsidP="002A2910">
            <w:pPr>
              <w:rPr>
                <w:rFonts w:cs="Arial"/>
                <w:color w:val="000000"/>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tcPr>
          <w:p w:rsidR="004F798E" w:rsidRPr="002A2910" w:rsidRDefault="004F798E" w:rsidP="002A2910">
            <w:pPr>
              <w:rPr>
                <w:rFonts w:cs="Arial"/>
                <w:color w:val="000000"/>
                <w:sz w:val="18"/>
                <w:szCs w:val="18"/>
              </w:rPr>
            </w:pPr>
          </w:p>
        </w:tc>
      </w:tr>
    </w:tbl>
    <w:p w:rsidR="002A2910" w:rsidRPr="002A2910" w:rsidRDefault="002A2910" w:rsidP="002A2910">
      <w:pPr>
        <w:rPr>
          <w:sz w:val="22"/>
        </w:rPr>
      </w:pPr>
    </w:p>
    <w:p w:rsidR="002A2910" w:rsidRPr="002A2910" w:rsidRDefault="002A2910" w:rsidP="002A2910">
      <w:pPr>
        <w:contextualSpacing/>
        <w:rPr>
          <w:sz w:val="22"/>
        </w:rPr>
      </w:pPr>
      <w:r w:rsidRPr="002A2910">
        <w:rPr>
          <w:sz w:val="22"/>
        </w:rPr>
        <w:t xml:space="preserve">It is expected that as and when meetings take place members attend or send a fully briefed deputy, who will be responsible for the communication within their respective division / department. </w:t>
      </w:r>
    </w:p>
    <w:p w:rsidR="002A2910" w:rsidRPr="002A2910" w:rsidRDefault="002A2910" w:rsidP="002A2910">
      <w:pPr>
        <w:contextualSpacing/>
        <w:rPr>
          <w:sz w:val="22"/>
        </w:rPr>
      </w:pPr>
    </w:p>
    <w:p w:rsidR="002A2910" w:rsidRPr="002A2910" w:rsidRDefault="002A2910" w:rsidP="002A2910">
      <w:pPr>
        <w:contextualSpacing/>
        <w:rPr>
          <w:sz w:val="22"/>
        </w:rPr>
      </w:pPr>
      <w:r w:rsidRPr="002A2910">
        <w:rPr>
          <w:sz w:val="22"/>
        </w:rPr>
        <w:t xml:space="preserve">The group will be expected to grow or reduce as decided by the </w:t>
      </w:r>
      <w:proofErr w:type="spellStart"/>
      <w:r w:rsidRPr="002A2910">
        <w:rPr>
          <w:sz w:val="22"/>
        </w:rPr>
        <w:t>workstream</w:t>
      </w:r>
      <w:proofErr w:type="spellEnd"/>
      <w:r w:rsidRPr="002A2910">
        <w:rPr>
          <w:sz w:val="22"/>
        </w:rPr>
        <w:t xml:space="preserve"> SRO dependent on the work being done.</w:t>
      </w:r>
    </w:p>
    <w:p w:rsidR="002A2910" w:rsidRPr="002A2910" w:rsidRDefault="002A2910" w:rsidP="002A2910">
      <w:pPr>
        <w:contextualSpacing/>
        <w:rPr>
          <w:sz w:val="22"/>
        </w:rPr>
      </w:pPr>
    </w:p>
    <w:p w:rsidR="002A2910" w:rsidRPr="002A2910" w:rsidRDefault="002A2910" w:rsidP="002A2910">
      <w:pPr>
        <w:contextualSpacing/>
        <w:rPr>
          <w:sz w:val="22"/>
        </w:rPr>
      </w:pPr>
      <w:r w:rsidRPr="002A2910">
        <w:rPr>
          <w:sz w:val="22"/>
        </w:rPr>
        <w:t>It is the responsibility and kindly requested of each of the attendees to provide regular updates to their respective internal departments and staff colleagues and all general communication to be agreed by Communication department.</w:t>
      </w:r>
    </w:p>
    <w:p w:rsidR="002A2910" w:rsidRPr="002A2910" w:rsidRDefault="002A2910" w:rsidP="002A2910"/>
    <w:p w:rsidR="002A2910" w:rsidRPr="002A2910" w:rsidRDefault="002A2910" w:rsidP="002A2910">
      <w:pPr>
        <w:keepNext/>
        <w:keepLines/>
        <w:spacing w:before="480"/>
        <w:outlineLvl w:val="0"/>
        <w:rPr>
          <w:rFonts w:asciiTheme="majorHAnsi" w:eastAsiaTheme="majorEastAsia" w:hAnsiTheme="majorHAnsi" w:cstheme="majorBidi"/>
          <w:b/>
          <w:bCs/>
          <w:color w:val="365F91" w:themeColor="accent1" w:themeShade="BF"/>
          <w:sz w:val="28"/>
          <w:szCs w:val="28"/>
        </w:rPr>
      </w:pPr>
      <w:bookmarkStart w:id="434" w:name="_Toc100070324"/>
      <w:bookmarkStart w:id="435" w:name="_Toc100307250"/>
      <w:bookmarkStart w:id="436" w:name="_Toc100307398"/>
      <w:bookmarkStart w:id="437" w:name="_Toc100318604"/>
      <w:bookmarkStart w:id="438" w:name="_Toc100320612"/>
      <w:bookmarkStart w:id="439" w:name="_Toc100341094"/>
      <w:bookmarkStart w:id="440" w:name="_Toc100569510"/>
      <w:bookmarkStart w:id="441" w:name="_Toc105493549"/>
      <w:bookmarkStart w:id="442" w:name="_Toc105665274"/>
      <w:r w:rsidRPr="002A2910">
        <w:rPr>
          <w:rFonts w:asciiTheme="majorHAnsi" w:eastAsiaTheme="majorEastAsia" w:hAnsiTheme="majorHAnsi" w:cstheme="majorBidi"/>
          <w:b/>
          <w:bCs/>
          <w:color w:val="365F91" w:themeColor="accent1" w:themeShade="BF"/>
          <w:sz w:val="28"/>
          <w:szCs w:val="28"/>
        </w:rPr>
        <w:t>Quorate</w:t>
      </w:r>
      <w:bookmarkEnd w:id="434"/>
      <w:bookmarkEnd w:id="435"/>
      <w:bookmarkEnd w:id="436"/>
      <w:bookmarkEnd w:id="437"/>
      <w:bookmarkEnd w:id="438"/>
      <w:bookmarkEnd w:id="439"/>
      <w:bookmarkEnd w:id="440"/>
      <w:bookmarkEnd w:id="441"/>
      <w:bookmarkEnd w:id="442"/>
    </w:p>
    <w:p w:rsidR="002A2910" w:rsidRPr="002A2910" w:rsidRDefault="002A2910" w:rsidP="002A2910">
      <w:pPr>
        <w:rPr>
          <w:sz w:val="22"/>
        </w:rPr>
      </w:pPr>
    </w:p>
    <w:p w:rsidR="002A2910" w:rsidRPr="002A2910" w:rsidRDefault="002A2910" w:rsidP="002A2910">
      <w:pPr>
        <w:rPr>
          <w:sz w:val="22"/>
        </w:rPr>
      </w:pPr>
      <w:r w:rsidRPr="002A2910">
        <w:rPr>
          <w:sz w:val="22"/>
        </w:rPr>
        <w:t xml:space="preserve">Meetings will be considered quorate if, as a minimum, the chair, or representative, nursing representative and estates representative are in attendance.  </w:t>
      </w:r>
    </w:p>
    <w:p w:rsidR="002A2910" w:rsidRPr="002A2910" w:rsidRDefault="002A2910" w:rsidP="002A2910">
      <w:pPr>
        <w:rPr>
          <w:sz w:val="22"/>
        </w:rPr>
      </w:pPr>
    </w:p>
    <w:p w:rsidR="002A2910" w:rsidRPr="002A2910" w:rsidRDefault="002A2910" w:rsidP="002A2910">
      <w:pPr>
        <w:rPr>
          <w:sz w:val="22"/>
        </w:rPr>
      </w:pPr>
      <w:r w:rsidRPr="002A2910">
        <w:rPr>
          <w:sz w:val="22"/>
        </w:rPr>
        <w:t xml:space="preserve">The </w:t>
      </w:r>
      <w:proofErr w:type="spellStart"/>
      <w:r w:rsidRPr="002A2910">
        <w:rPr>
          <w:sz w:val="22"/>
        </w:rPr>
        <w:t>workstream</w:t>
      </w:r>
      <w:proofErr w:type="spellEnd"/>
      <w:r w:rsidRPr="002A2910">
        <w:rPr>
          <w:sz w:val="22"/>
        </w:rPr>
        <w:t xml:space="preserve"> reports into the Project Working Group for discussion, awareness and sign off.  Attached is the template for report completion.</w:t>
      </w:r>
    </w:p>
    <w:p w:rsidR="002A2910" w:rsidRPr="002A2910" w:rsidRDefault="002A2910" w:rsidP="002A2910">
      <w:pPr>
        <w:rPr>
          <w:sz w:val="22"/>
        </w:rPr>
      </w:pPr>
    </w:p>
    <w:p w:rsidR="002A2910" w:rsidRPr="002A2910" w:rsidRDefault="002A2910" w:rsidP="002A2910">
      <w:pPr>
        <w:rPr>
          <w:sz w:val="22"/>
        </w:rPr>
      </w:pPr>
    </w:p>
    <w:p w:rsidR="002A2910" w:rsidRPr="002A2910" w:rsidRDefault="002A2910" w:rsidP="002A2910">
      <w:pPr>
        <w:rPr>
          <w:sz w:val="22"/>
        </w:rPr>
      </w:pPr>
    </w:p>
    <w:p w:rsidR="002A2910" w:rsidRPr="002A2910" w:rsidRDefault="002A2910" w:rsidP="002A2910">
      <w:pPr>
        <w:rPr>
          <w:sz w:val="22"/>
        </w:rPr>
      </w:pPr>
      <w:r w:rsidRPr="002A2910">
        <w:rPr>
          <w:sz w:val="22"/>
        </w:rPr>
        <w:t xml:space="preserve">Meetings will be called on an ad hoc basis.  This </w:t>
      </w:r>
      <w:proofErr w:type="spellStart"/>
      <w:r w:rsidRPr="002A2910">
        <w:rPr>
          <w:sz w:val="22"/>
        </w:rPr>
        <w:t>workstream</w:t>
      </w:r>
      <w:proofErr w:type="spellEnd"/>
      <w:r w:rsidRPr="002A2910">
        <w:rPr>
          <w:sz w:val="22"/>
        </w:rPr>
        <w:t xml:space="preserve"> is dependent on the other 4 </w:t>
      </w:r>
      <w:proofErr w:type="spellStart"/>
      <w:r w:rsidRPr="002A2910">
        <w:rPr>
          <w:sz w:val="22"/>
        </w:rPr>
        <w:t>workstreams</w:t>
      </w:r>
      <w:proofErr w:type="spellEnd"/>
      <w:r w:rsidRPr="002A2910">
        <w:rPr>
          <w:sz w:val="22"/>
        </w:rPr>
        <w:t xml:space="preserve"> and as such will be called as and when information becomes available.  Use of Microsoft teams will be available to all sites.</w:t>
      </w:r>
    </w:p>
    <w:p w:rsidR="00097DA7" w:rsidRDefault="002A2910" w:rsidP="00097DA7">
      <w:pPr>
        <w:pStyle w:val="Heading1"/>
        <w:rPr>
          <w:lang w:eastAsia="en-GB"/>
        </w:rPr>
      </w:pPr>
      <w:r>
        <w:rPr>
          <w:lang w:eastAsia="en-GB"/>
        </w:rPr>
        <w:br w:type="page"/>
      </w:r>
      <w:bookmarkStart w:id="443" w:name="_Toc105665275"/>
      <w:r w:rsidR="00097DA7">
        <w:rPr>
          <w:lang w:eastAsia="en-GB"/>
        </w:rPr>
        <w:lastRenderedPageBreak/>
        <w:t>Appendix V:  Premises Assurance Model</w:t>
      </w:r>
      <w:bookmarkEnd w:id="443"/>
    </w:p>
    <w:p w:rsidR="00097DA7" w:rsidRDefault="00097DA7" w:rsidP="00097DA7">
      <w:pPr>
        <w:rPr>
          <w:lang w:eastAsia="en-GB"/>
        </w:rPr>
      </w:pPr>
    </w:p>
    <w:bookmarkStart w:id="444" w:name="_MON_1710919888"/>
    <w:bookmarkEnd w:id="444"/>
    <w:p w:rsidR="008F4FAB" w:rsidRDefault="00724FBD" w:rsidP="008F4FAB">
      <w:pPr>
        <w:rPr>
          <w:lang w:eastAsia="en-GB"/>
        </w:rPr>
      </w:pPr>
      <w:r>
        <w:rPr>
          <w:lang w:eastAsia="en-GB"/>
        </w:rPr>
        <w:object w:dxaOrig="1508" w:dyaOrig="983">
          <v:shape id="_x0000_i1027" type="#_x0000_t75" style="width:75.4pt;height:49.15pt" o:ole="">
            <v:imagedata r:id="rId95" o:title=""/>
          </v:shape>
          <o:OLEObject Type="Embed" ProgID="Word.Document.12" ShapeID="_x0000_i1027" DrawAspect="Icon" ObjectID="_1722934610" r:id="rId96">
            <o:FieldCodes>\s</o:FieldCodes>
          </o:OLEObject>
        </w:object>
      </w:r>
      <w:r>
        <w:rPr>
          <w:lang w:eastAsia="en-GB"/>
        </w:rPr>
        <w:object w:dxaOrig="1508" w:dyaOrig="983">
          <v:shape id="_x0000_i1028" type="#_x0000_t75" style="width:75.4pt;height:49.15pt" o:ole="">
            <v:imagedata r:id="rId97" o:title=""/>
          </v:shape>
          <o:OLEObject Type="Embed" ProgID="Excel.Sheet.12" ShapeID="_x0000_i1028" DrawAspect="Icon" ObjectID="_1722934611" r:id="rId98"/>
        </w:object>
      </w:r>
      <w:r w:rsidR="008F4FAB">
        <w:rPr>
          <w:lang w:eastAsia="en-GB"/>
        </w:rPr>
        <w:br w:type="page"/>
      </w:r>
    </w:p>
    <w:p w:rsidR="008F4FAB" w:rsidRDefault="008F4FAB" w:rsidP="008F4FAB">
      <w:pPr>
        <w:pStyle w:val="Heading1"/>
        <w:rPr>
          <w:lang w:eastAsia="en-GB"/>
        </w:rPr>
      </w:pPr>
      <w:bookmarkStart w:id="445" w:name="_Toc105665276"/>
      <w:r>
        <w:rPr>
          <w:lang w:eastAsia="en-GB"/>
        </w:rPr>
        <w:lastRenderedPageBreak/>
        <w:t>Appendix W – ULHT Draft Green Plan</w:t>
      </w:r>
      <w:bookmarkEnd w:id="445"/>
    </w:p>
    <w:p w:rsidR="008F4FAB" w:rsidRDefault="008F4FAB" w:rsidP="008F4FAB">
      <w:pPr>
        <w:rPr>
          <w:lang w:eastAsia="en-GB"/>
        </w:rPr>
      </w:pPr>
    </w:p>
    <w:p w:rsidR="008F4FAB" w:rsidRDefault="008F4FAB" w:rsidP="008F4FAB">
      <w:pPr>
        <w:rPr>
          <w:sz w:val="22"/>
          <w:lang w:eastAsia="en-GB"/>
        </w:rPr>
      </w:pPr>
      <w:r w:rsidRPr="008F4FAB">
        <w:rPr>
          <w:sz w:val="22"/>
          <w:lang w:eastAsia="en-GB"/>
        </w:rPr>
        <w:t>The attached is for information as requested.  This document is not yet an official ULHT document.</w:t>
      </w:r>
    </w:p>
    <w:p w:rsidR="008F4FAB" w:rsidRDefault="008F4FAB" w:rsidP="008F4FAB">
      <w:pPr>
        <w:rPr>
          <w:sz w:val="22"/>
          <w:lang w:eastAsia="en-GB"/>
        </w:rPr>
      </w:pPr>
    </w:p>
    <w:p w:rsidR="00184104" w:rsidRDefault="00184104" w:rsidP="008F4FAB">
      <w:pPr>
        <w:rPr>
          <w:sz w:val="22"/>
          <w:lang w:eastAsia="en-GB"/>
        </w:rPr>
      </w:pPr>
    </w:p>
    <w:p w:rsidR="00724FBD" w:rsidRDefault="00724FBD" w:rsidP="008F4FAB">
      <w:pPr>
        <w:rPr>
          <w:sz w:val="22"/>
          <w:lang w:eastAsia="en-GB"/>
        </w:rPr>
      </w:pPr>
    </w:p>
    <w:p w:rsidR="00724FBD" w:rsidRDefault="00724FBD">
      <w:pPr>
        <w:spacing w:after="200" w:line="276" w:lineRule="auto"/>
        <w:rPr>
          <w:sz w:val="22"/>
          <w:lang w:eastAsia="en-GB"/>
        </w:rPr>
      </w:pPr>
      <w:r>
        <w:rPr>
          <w:sz w:val="22"/>
          <w:lang w:eastAsia="en-GB"/>
        </w:rPr>
        <w:br w:type="page"/>
      </w:r>
    </w:p>
    <w:p w:rsidR="00724FBD" w:rsidRDefault="00724FBD" w:rsidP="00E93704">
      <w:pPr>
        <w:pStyle w:val="Heading1"/>
        <w:rPr>
          <w:lang w:eastAsia="en-GB"/>
        </w:rPr>
      </w:pPr>
      <w:bookmarkStart w:id="446" w:name="_Toc105665277"/>
      <w:r>
        <w:rPr>
          <w:lang w:eastAsia="en-GB"/>
        </w:rPr>
        <w:lastRenderedPageBreak/>
        <w:t>Appendix X – Schedule of Accommodation and Derogations</w:t>
      </w:r>
      <w:bookmarkEnd w:id="446"/>
    </w:p>
    <w:p w:rsidR="00724FBD" w:rsidRDefault="00724FBD" w:rsidP="008F4FAB">
      <w:pPr>
        <w:rPr>
          <w:sz w:val="22"/>
          <w:lang w:eastAsia="en-GB"/>
        </w:rPr>
      </w:pPr>
    </w:p>
    <w:tbl>
      <w:tblPr>
        <w:tblW w:w="5187" w:type="pct"/>
        <w:tblCellMar>
          <w:left w:w="0" w:type="dxa"/>
          <w:right w:w="0" w:type="dxa"/>
        </w:tblCellMar>
        <w:tblLook w:val="04A0" w:firstRow="1" w:lastRow="0" w:firstColumn="1" w:lastColumn="0" w:noHBand="0" w:noVBand="1"/>
      </w:tblPr>
      <w:tblGrid>
        <w:gridCol w:w="2226"/>
        <w:gridCol w:w="7138"/>
      </w:tblGrid>
      <w:tr w:rsidR="009A2554" w:rsidTr="004F798E">
        <w:tc>
          <w:tcPr>
            <w:tcW w:w="2226" w:type="dxa"/>
            <w:tcMar>
              <w:top w:w="0" w:type="dxa"/>
              <w:left w:w="108" w:type="dxa"/>
              <w:bottom w:w="0" w:type="dxa"/>
              <w:right w:w="108" w:type="dxa"/>
            </w:tcMar>
            <w:vAlign w:val="center"/>
          </w:tcPr>
          <w:p w:rsidR="009A2554" w:rsidRDefault="009A2554" w:rsidP="004F798E">
            <w:pPr>
              <w:spacing w:after="200" w:line="276" w:lineRule="auto"/>
              <w:rPr>
                <w:rFonts w:cs="Arial"/>
                <w:color w:val="1F497D"/>
                <w:sz w:val="22"/>
                <w:lang w:eastAsia="en-GB"/>
              </w:rPr>
            </w:pPr>
          </w:p>
        </w:tc>
        <w:tc>
          <w:tcPr>
            <w:tcW w:w="0" w:type="auto"/>
            <w:tcMar>
              <w:top w:w="0" w:type="dxa"/>
              <w:left w:w="108" w:type="dxa"/>
              <w:bottom w:w="0" w:type="dxa"/>
              <w:right w:w="108" w:type="dxa"/>
            </w:tcMar>
            <w:hideMark/>
          </w:tcPr>
          <w:p w:rsidR="009A2554" w:rsidRDefault="009A2554">
            <w:pPr>
              <w:autoSpaceDE w:val="0"/>
              <w:autoSpaceDN w:val="0"/>
              <w:spacing w:before="100" w:after="100"/>
              <w:rPr>
                <w:rFonts w:cs="Arial"/>
                <w:b/>
                <w:bCs/>
                <w:color w:val="005EB8"/>
                <w:lang w:eastAsia="en-GB"/>
              </w:rPr>
            </w:pPr>
          </w:p>
        </w:tc>
      </w:tr>
    </w:tbl>
    <w:p w:rsidR="009A2554" w:rsidRDefault="009A2554" w:rsidP="008F4FAB">
      <w:pPr>
        <w:rPr>
          <w:sz w:val="22"/>
          <w:lang w:eastAsia="en-GB"/>
        </w:rPr>
      </w:pPr>
    </w:p>
    <w:p w:rsidR="00620279" w:rsidRDefault="00724FBD" w:rsidP="008F4FAB">
      <w:pPr>
        <w:rPr>
          <w:sz w:val="22"/>
          <w:lang w:eastAsia="en-GB"/>
        </w:rPr>
      </w:pPr>
      <w:r>
        <w:rPr>
          <w:sz w:val="22"/>
          <w:lang w:eastAsia="en-GB"/>
        </w:rPr>
        <w:object w:dxaOrig="1508" w:dyaOrig="983">
          <v:shape id="_x0000_i1029" type="#_x0000_t75" style="width:75.4pt;height:49.15pt" o:ole="">
            <v:imagedata r:id="rId99" o:title=""/>
          </v:shape>
          <o:OLEObject Type="Embed" ProgID="Excel.Sheet.12" ShapeID="_x0000_i1029" DrawAspect="Icon" ObjectID="_1722934612" r:id="rId100"/>
        </w:object>
      </w:r>
    </w:p>
    <w:p w:rsidR="00620279" w:rsidRDefault="00620279" w:rsidP="00620279">
      <w:pPr>
        <w:rPr>
          <w:lang w:eastAsia="en-GB"/>
        </w:rPr>
      </w:pPr>
      <w:r>
        <w:rPr>
          <w:lang w:eastAsia="en-GB"/>
        </w:rPr>
        <w:br w:type="page"/>
      </w:r>
    </w:p>
    <w:p w:rsidR="00620279" w:rsidRDefault="00620279" w:rsidP="00620279">
      <w:pPr>
        <w:pStyle w:val="Heading1"/>
        <w:rPr>
          <w:lang w:eastAsia="en-GB"/>
        </w:rPr>
      </w:pPr>
      <w:bookmarkStart w:id="447" w:name="_Toc105665278"/>
      <w:r>
        <w:rPr>
          <w:lang w:eastAsia="en-GB"/>
        </w:rPr>
        <w:lastRenderedPageBreak/>
        <w:t xml:space="preserve">Appendix Y – </w:t>
      </w:r>
      <w:r w:rsidR="00034942">
        <w:rPr>
          <w:lang w:eastAsia="en-GB"/>
        </w:rPr>
        <w:t>ITT &amp; Contracts</w:t>
      </w:r>
      <w:bookmarkEnd w:id="447"/>
    </w:p>
    <w:p w:rsidR="00620279" w:rsidRDefault="00620279" w:rsidP="00620279">
      <w:pPr>
        <w:pStyle w:val="Heading1"/>
        <w:rPr>
          <w:lang w:eastAsia="en-GB"/>
        </w:rPr>
      </w:pPr>
    </w:p>
    <w:p w:rsidR="004F798E" w:rsidRPr="004F798E" w:rsidRDefault="004F798E" w:rsidP="004F798E">
      <w:pPr>
        <w:rPr>
          <w:lang w:eastAsia="en-GB"/>
        </w:rPr>
      </w:pPr>
      <w:r>
        <w:rPr>
          <w:lang w:eastAsia="en-GB"/>
        </w:rPr>
        <w:t>Removed - commercial</w:t>
      </w:r>
    </w:p>
    <w:p w:rsidR="00097DA7" w:rsidRDefault="00097DA7" w:rsidP="00620279">
      <w:pPr>
        <w:pStyle w:val="Heading1"/>
        <w:rPr>
          <w:lang w:eastAsia="en-GB"/>
        </w:rPr>
      </w:pPr>
      <w:r w:rsidRPr="008F4FAB">
        <w:rPr>
          <w:lang w:eastAsia="en-GB"/>
        </w:rPr>
        <w:br w:type="page"/>
      </w:r>
    </w:p>
    <w:p w:rsidR="00066DE9" w:rsidRDefault="00066DE9" w:rsidP="00066DE9">
      <w:pPr>
        <w:pStyle w:val="Heading1"/>
        <w:rPr>
          <w:lang w:eastAsia="en-GB"/>
        </w:rPr>
        <w:sectPr w:rsidR="00066DE9" w:rsidSect="005D0AC7">
          <w:pgSz w:w="11906" w:h="16838"/>
          <w:pgMar w:top="1440" w:right="1440" w:bottom="1440" w:left="1440" w:header="709" w:footer="709" w:gutter="0"/>
          <w:cols w:space="708"/>
          <w:docGrid w:linePitch="360"/>
        </w:sectPr>
      </w:pPr>
    </w:p>
    <w:p w:rsidR="00066DE9" w:rsidRDefault="00066DE9" w:rsidP="00066DE9">
      <w:pPr>
        <w:pStyle w:val="Heading1"/>
        <w:rPr>
          <w:lang w:eastAsia="en-GB"/>
        </w:rPr>
      </w:pPr>
      <w:bookmarkStart w:id="448" w:name="_Toc105665280"/>
      <w:r>
        <w:rPr>
          <w:lang w:eastAsia="en-GB"/>
        </w:rPr>
        <w:lastRenderedPageBreak/>
        <w:t>Appendix Z – Equipment List</w:t>
      </w:r>
      <w:bookmarkEnd w:id="448"/>
    </w:p>
    <w:p w:rsidR="00066DE9" w:rsidRDefault="00066DE9" w:rsidP="00066DE9">
      <w:pPr>
        <w:rPr>
          <w:lang w:eastAsia="en-GB"/>
        </w:rPr>
      </w:pPr>
    </w:p>
    <w:p w:rsidR="00066DE9" w:rsidRDefault="00066DE9" w:rsidP="00066DE9">
      <w:pPr>
        <w:rPr>
          <w:lang w:eastAsia="en-GB"/>
        </w:rPr>
      </w:pPr>
      <w:r>
        <w:rPr>
          <w:lang w:eastAsia="en-GB"/>
        </w:rPr>
        <w:t>See estates annex</w:t>
      </w:r>
    </w:p>
    <w:p w:rsidR="00066DE9" w:rsidRDefault="00066DE9" w:rsidP="00066DE9">
      <w:pPr>
        <w:rPr>
          <w:lang w:eastAsia="en-GB"/>
        </w:rPr>
      </w:pPr>
    </w:p>
    <w:tbl>
      <w:tblPr>
        <w:tblW w:w="0" w:type="auto"/>
        <w:tblLook w:val="04A0" w:firstRow="1" w:lastRow="0" w:firstColumn="1" w:lastColumn="0" w:noHBand="0" w:noVBand="1"/>
      </w:tblPr>
      <w:tblGrid>
        <w:gridCol w:w="2288"/>
        <w:gridCol w:w="2548"/>
        <w:gridCol w:w="1193"/>
        <w:gridCol w:w="906"/>
        <w:gridCol w:w="739"/>
        <w:gridCol w:w="1659"/>
        <w:gridCol w:w="1110"/>
        <w:gridCol w:w="913"/>
        <w:gridCol w:w="1188"/>
        <w:gridCol w:w="843"/>
        <w:gridCol w:w="551"/>
      </w:tblGrid>
      <w:tr w:rsidR="00066DE9" w:rsidRPr="00066DE9" w:rsidTr="00066DE9">
        <w:trPr>
          <w:trHeight w:val="930"/>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b/>
                <w:bCs/>
                <w:color w:val="000000"/>
                <w:szCs w:val="24"/>
                <w:lang w:eastAsia="en-GB"/>
              </w:rPr>
            </w:pPr>
            <w:r w:rsidRPr="00066DE9">
              <w:rPr>
                <w:rFonts w:ascii="Calibri" w:eastAsia="Times New Roman" w:hAnsi="Calibri" w:cs="Calibri"/>
                <w:b/>
                <w:bCs/>
                <w:color w:val="000000"/>
                <w:szCs w:val="24"/>
                <w:lang w:eastAsia="en-GB"/>
              </w:rPr>
              <w:t>Room #</w:t>
            </w:r>
          </w:p>
        </w:tc>
        <w:tc>
          <w:tcPr>
            <w:tcW w:w="0" w:type="auto"/>
            <w:tcBorders>
              <w:top w:val="single" w:sz="8" w:space="0" w:color="auto"/>
              <w:left w:val="nil"/>
              <w:bottom w:val="single" w:sz="8"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b/>
                <w:bCs/>
                <w:color w:val="000000"/>
                <w:szCs w:val="24"/>
                <w:lang w:eastAsia="en-GB"/>
              </w:rPr>
            </w:pPr>
            <w:r w:rsidRPr="00066DE9">
              <w:rPr>
                <w:rFonts w:ascii="Calibri" w:eastAsia="Times New Roman" w:hAnsi="Calibri" w:cs="Calibri"/>
                <w:b/>
                <w:bCs/>
                <w:color w:val="000000"/>
                <w:szCs w:val="24"/>
                <w:lang w:eastAsia="en-GB"/>
              </w:rPr>
              <w:t>Notes</w:t>
            </w:r>
          </w:p>
        </w:tc>
        <w:tc>
          <w:tcPr>
            <w:tcW w:w="0" w:type="auto"/>
            <w:tcBorders>
              <w:top w:val="single" w:sz="8" w:space="0" w:color="auto"/>
              <w:left w:val="nil"/>
              <w:bottom w:val="single" w:sz="8"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b/>
                <w:bCs/>
                <w:color w:val="000000"/>
                <w:szCs w:val="24"/>
                <w:lang w:eastAsia="en-GB"/>
              </w:rPr>
            </w:pPr>
            <w:r w:rsidRPr="00066DE9">
              <w:rPr>
                <w:rFonts w:ascii="Calibri" w:eastAsia="Times New Roman" w:hAnsi="Calibri" w:cs="Calibri"/>
                <w:b/>
                <w:bCs/>
                <w:color w:val="000000"/>
                <w:szCs w:val="24"/>
                <w:lang w:eastAsia="en-GB"/>
              </w:rPr>
              <w:t>Other Electronics</w:t>
            </w:r>
          </w:p>
        </w:tc>
        <w:tc>
          <w:tcPr>
            <w:tcW w:w="0" w:type="auto"/>
            <w:tcBorders>
              <w:top w:val="single" w:sz="8" w:space="0" w:color="auto"/>
              <w:left w:val="nil"/>
              <w:bottom w:val="single" w:sz="8"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b/>
                <w:bCs/>
                <w:color w:val="000000"/>
                <w:szCs w:val="24"/>
                <w:lang w:eastAsia="en-GB"/>
              </w:rPr>
            </w:pPr>
            <w:r w:rsidRPr="00066DE9">
              <w:rPr>
                <w:rFonts w:ascii="Calibri" w:eastAsia="Times New Roman" w:hAnsi="Calibri" w:cs="Calibri"/>
                <w:b/>
                <w:bCs/>
                <w:color w:val="000000"/>
                <w:szCs w:val="24"/>
                <w:lang w:eastAsia="en-GB"/>
              </w:rPr>
              <w:t>Other POWER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b/>
                <w:bCs/>
                <w:color w:val="000000"/>
                <w:szCs w:val="24"/>
                <w:lang w:eastAsia="en-GB"/>
              </w:rPr>
            </w:pPr>
            <w:r w:rsidRPr="00066DE9">
              <w:rPr>
                <w:rFonts w:ascii="Calibri" w:eastAsia="Times New Roman" w:hAnsi="Calibri" w:cs="Calibri"/>
                <w:b/>
                <w:bCs/>
                <w:color w:val="000000"/>
                <w:szCs w:val="24"/>
                <w:lang w:eastAsia="en-GB"/>
              </w:rPr>
              <w:t>Other LAN</w:t>
            </w:r>
          </w:p>
        </w:tc>
        <w:tc>
          <w:tcPr>
            <w:tcW w:w="0" w:type="auto"/>
            <w:tcBorders>
              <w:top w:val="single" w:sz="8" w:space="0" w:color="auto"/>
              <w:left w:val="nil"/>
              <w:bottom w:val="single" w:sz="8"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b/>
                <w:bCs/>
                <w:color w:val="000000"/>
                <w:sz w:val="22"/>
                <w:lang w:eastAsia="en-GB"/>
              </w:rPr>
            </w:pPr>
            <w:r w:rsidRPr="00066DE9">
              <w:rPr>
                <w:rFonts w:ascii="Calibri" w:eastAsia="Times New Roman" w:hAnsi="Calibri" w:cs="Calibri"/>
                <w:b/>
                <w:bCs/>
                <w:color w:val="000000"/>
                <w:sz w:val="22"/>
                <w:lang w:eastAsia="en-GB"/>
              </w:rPr>
              <w:t>Medical devices as of 20/09/2021</w:t>
            </w:r>
          </w:p>
        </w:tc>
        <w:tc>
          <w:tcPr>
            <w:tcW w:w="0" w:type="auto"/>
            <w:tcBorders>
              <w:top w:val="single" w:sz="8" w:space="0" w:color="auto"/>
              <w:left w:val="nil"/>
              <w:bottom w:val="single" w:sz="8"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b/>
                <w:bCs/>
                <w:color w:val="000000"/>
                <w:sz w:val="22"/>
                <w:lang w:eastAsia="en-GB"/>
              </w:rPr>
            </w:pPr>
            <w:r w:rsidRPr="00066DE9">
              <w:rPr>
                <w:rFonts w:ascii="Calibri" w:eastAsia="Times New Roman" w:hAnsi="Calibri" w:cs="Calibri"/>
                <w:b/>
                <w:bCs/>
                <w:color w:val="000000"/>
                <w:sz w:val="22"/>
                <w:lang w:eastAsia="en-GB"/>
              </w:rPr>
              <w:t xml:space="preserve">POWER sockets for </w:t>
            </w:r>
            <w:proofErr w:type="spellStart"/>
            <w:r w:rsidRPr="00066DE9">
              <w:rPr>
                <w:rFonts w:ascii="Calibri" w:eastAsia="Times New Roman" w:hAnsi="Calibri" w:cs="Calibri"/>
                <w:b/>
                <w:bCs/>
                <w:color w:val="000000"/>
                <w:sz w:val="22"/>
                <w:lang w:eastAsia="en-GB"/>
              </w:rPr>
              <w:t>MedDev</w:t>
            </w:r>
            <w:proofErr w:type="spellEnd"/>
          </w:p>
        </w:tc>
        <w:tc>
          <w:tcPr>
            <w:tcW w:w="0" w:type="auto"/>
            <w:tcBorders>
              <w:top w:val="single" w:sz="8" w:space="0" w:color="auto"/>
              <w:left w:val="nil"/>
              <w:bottom w:val="single" w:sz="8"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b/>
                <w:bCs/>
                <w:color w:val="000000"/>
                <w:sz w:val="22"/>
                <w:lang w:eastAsia="en-GB"/>
              </w:rPr>
            </w:pPr>
            <w:r w:rsidRPr="00066DE9">
              <w:rPr>
                <w:rFonts w:ascii="Calibri" w:eastAsia="Times New Roman" w:hAnsi="Calibri" w:cs="Calibri"/>
                <w:b/>
                <w:bCs/>
                <w:color w:val="000000"/>
                <w:sz w:val="22"/>
                <w:lang w:eastAsia="en-GB"/>
              </w:rPr>
              <w:t xml:space="preserve">LAN sockets for </w:t>
            </w:r>
            <w:proofErr w:type="spellStart"/>
            <w:r w:rsidRPr="00066DE9">
              <w:rPr>
                <w:rFonts w:ascii="Calibri" w:eastAsia="Times New Roman" w:hAnsi="Calibri" w:cs="Calibri"/>
                <w:b/>
                <w:bCs/>
                <w:color w:val="000000"/>
                <w:sz w:val="22"/>
                <w:lang w:eastAsia="en-GB"/>
              </w:rPr>
              <w:t>MedDev</w:t>
            </w:r>
            <w:proofErr w:type="spellEnd"/>
          </w:p>
        </w:tc>
        <w:tc>
          <w:tcPr>
            <w:tcW w:w="0" w:type="auto"/>
            <w:tcBorders>
              <w:top w:val="single" w:sz="8" w:space="0" w:color="auto"/>
              <w:left w:val="nil"/>
              <w:bottom w:val="single" w:sz="8"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b/>
                <w:bCs/>
                <w:color w:val="000000"/>
                <w:sz w:val="22"/>
                <w:lang w:eastAsia="en-GB"/>
              </w:rPr>
            </w:pPr>
            <w:r w:rsidRPr="00066DE9">
              <w:rPr>
                <w:rFonts w:ascii="Calibri" w:eastAsia="Times New Roman" w:hAnsi="Calibri" w:cs="Calibri"/>
                <w:b/>
                <w:bCs/>
                <w:color w:val="000000"/>
                <w:sz w:val="22"/>
                <w:lang w:eastAsia="en-GB"/>
              </w:rPr>
              <w:t>ICT</w:t>
            </w:r>
          </w:p>
        </w:tc>
        <w:tc>
          <w:tcPr>
            <w:tcW w:w="0" w:type="auto"/>
            <w:tcBorders>
              <w:top w:val="single" w:sz="8" w:space="0" w:color="auto"/>
              <w:left w:val="nil"/>
              <w:bottom w:val="single" w:sz="8"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b/>
                <w:bCs/>
                <w:color w:val="000000"/>
                <w:sz w:val="22"/>
                <w:lang w:eastAsia="en-GB"/>
              </w:rPr>
            </w:pPr>
            <w:r w:rsidRPr="00066DE9">
              <w:rPr>
                <w:rFonts w:ascii="Calibri" w:eastAsia="Times New Roman" w:hAnsi="Calibri" w:cs="Calibri"/>
                <w:b/>
                <w:bCs/>
                <w:color w:val="000000"/>
                <w:sz w:val="22"/>
                <w:lang w:eastAsia="en-GB"/>
              </w:rPr>
              <w:t>POWER ICT</w:t>
            </w:r>
          </w:p>
        </w:tc>
        <w:tc>
          <w:tcPr>
            <w:tcW w:w="0" w:type="auto"/>
            <w:tcBorders>
              <w:top w:val="single" w:sz="8" w:space="0" w:color="auto"/>
              <w:left w:val="nil"/>
              <w:bottom w:val="single" w:sz="8" w:space="0" w:color="auto"/>
              <w:right w:val="single" w:sz="8" w:space="0" w:color="auto"/>
            </w:tcBorders>
            <w:shd w:val="clear" w:color="000000" w:fill="E2EFDA"/>
            <w:vAlign w:val="center"/>
            <w:hideMark/>
          </w:tcPr>
          <w:p w:rsidR="00066DE9" w:rsidRPr="00066DE9" w:rsidRDefault="00066DE9" w:rsidP="00066DE9">
            <w:pPr>
              <w:rPr>
                <w:rFonts w:ascii="Calibri" w:eastAsia="Times New Roman" w:hAnsi="Calibri" w:cs="Calibri"/>
                <w:b/>
                <w:bCs/>
                <w:color w:val="000000"/>
                <w:sz w:val="22"/>
                <w:lang w:eastAsia="en-GB"/>
              </w:rPr>
            </w:pPr>
            <w:r w:rsidRPr="00066DE9">
              <w:rPr>
                <w:rFonts w:ascii="Calibri" w:eastAsia="Times New Roman" w:hAnsi="Calibri" w:cs="Calibri"/>
                <w:b/>
                <w:bCs/>
                <w:color w:val="000000"/>
                <w:sz w:val="22"/>
                <w:lang w:eastAsia="en-GB"/>
              </w:rPr>
              <w:t>LAN ICT</w:t>
            </w:r>
          </w:p>
        </w:tc>
      </w:tr>
      <w:tr w:rsidR="00066DE9" w:rsidRPr="00066DE9" w:rsidTr="00066DE9">
        <w:trPr>
          <w:trHeight w:val="580"/>
        </w:trPr>
        <w:tc>
          <w:tcPr>
            <w:tcW w:w="0" w:type="auto"/>
            <w:tcBorders>
              <w:top w:val="nil"/>
              <w:left w:val="single" w:sz="4" w:space="0" w:color="auto"/>
              <w:bottom w:val="single" w:sz="4" w:space="0" w:color="auto"/>
              <w:right w:val="single" w:sz="4" w:space="0" w:color="auto"/>
            </w:tcBorders>
            <w:shd w:val="clear" w:color="000000" w:fill="FFFFCC"/>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Lobby 1</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Next to Main Entrance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Vending Machines</w:t>
            </w:r>
            <w:r w:rsidRPr="00066DE9">
              <w:rPr>
                <w:rFonts w:ascii="Calibri" w:eastAsia="Times New Roman" w:hAnsi="Calibri" w:cs="Calibri"/>
                <w:color w:val="000000"/>
                <w:sz w:val="22"/>
                <w:lang w:eastAsia="en-GB"/>
              </w:rPr>
              <w:br/>
              <w:t>In the future: Patient Kiosk</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6</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1450"/>
        </w:trPr>
        <w:tc>
          <w:tcPr>
            <w:tcW w:w="0" w:type="auto"/>
            <w:tcBorders>
              <w:top w:val="nil"/>
              <w:left w:val="single" w:sz="4" w:space="0" w:color="auto"/>
              <w:bottom w:val="single" w:sz="4" w:space="0" w:color="auto"/>
              <w:right w:val="single" w:sz="4" w:space="0" w:color="auto"/>
            </w:tcBorders>
            <w:shd w:val="clear" w:color="000000" w:fill="FFFFCC"/>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Waiting Area 2</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Left side will be UTC waiting Area</w:t>
            </w:r>
            <w:r w:rsidRPr="00066DE9">
              <w:rPr>
                <w:rFonts w:ascii="Calibri" w:eastAsia="Times New Roman" w:hAnsi="Calibri" w:cs="Calibri"/>
                <w:color w:val="000000"/>
                <w:sz w:val="22"/>
                <w:lang w:eastAsia="en-GB"/>
              </w:rPr>
              <w:br/>
            </w:r>
            <w:r w:rsidRPr="00066DE9">
              <w:rPr>
                <w:rFonts w:ascii="Calibri" w:eastAsia="Times New Roman" w:hAnsi="Calibri" w:cs="Calibri"/>
                <w:color w:val="000000"/>
                <w:sz w:val="22"/>
                <w:lang w:eastAsia="en-GB"/>
              </w:rPr>
              <w:br/>
              <w:t>Right side ED waiting Area</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Patient Display monitors (1x UTC and 1x ED side</w:t>
            </w:r>
            <w:proofErr w:type="gramStart"/>
            <w:r w:rsidRPr="00066DE9">
              <w:rPr>
                <w:rFonts w:ascii="Calibri" w:eastAsia="Times New Roman" w:hAnsi="Calibri" w:cs="Calibri"/>
                <w:color w:val="000000"/>
                <w:sz w:val="22"/>
                <w:lang w:eastAsia="en-GB"/>
              </w:rPr>
              <w:t>)</w:t>
            </w:r>
            <w:proofErr w:type="gramEnd"/>
            <w:r w:rsidRPr="00066DE9">
              <w:rPr>
                <w:rFonts w:ascii="Calibri" w:eastAsia="Times New Roman" w:hAnsi="Calibri" w:cs="Calibri"/>
                <w:color w:val="000000"/>
                <w:sz w:val="22"/>
                <w:lang w:eastAsia="en-GB"/>
              </w:rPr>
              <w:br/>
            </w:r>
            <w:r w:rsidRPr="00066DE9">
              <w:rPr>
                <w:rFonts w:ascii="Calibri" w:eastAsia="Times New Roman" w:hAnsi="Calibri" w:cs="Calibri"/>
                <w:color w:val="000000"/>
                <w:sz w:val="22"/>
                <w:lang w:eastAsia="en-GB"/>
              </w:rPr>
              <w:br/>
              <w:t>Desirable: Speakers to call for patients.</w:t>
            </w:r>
            <w:r w:rsidRPr="00066DE9">
              <w:rPr>
                <w:rFonts w:ascii="Calibri" w:eastAsia="Times New Roman" w:hAnsi="Calibri" w:cs="Calibri"/>
                <w:color w:val="000000"/>
                <w:sz w:val="22"/>
                <w:lang w:eastAsia="en-GB"/>
              </w:rPr>
              <w:br/>
            </w:r>
            <w:r w:rsidRPr="00066DE9">
              <w:rPr>
                <w:rFonts w:ascii="Calibri" w:eastAsia="Times New Roman" w:hAnsi="Calibri" w:cs="Calibri"/>
                <w:color w:val="000000"/>
                <w:sz w:val="22"/>
                <w:lang w:eastAsia="en-GB"/>
              </w:rPr>
              <w:br/>
              <w:t xml:space="preserve">USB chargers </w:t>
            </w:r>
            <w:r w:rsidRPr="00066DE9">
              <w:rPr>
                <w:rFonts w:ascii="Calibri" w:eastAsia="Times New Roman" w:hAnsi="Calibri" w:cs="Calibri"/>
                <w:color w:val="000000"/>
                <w:sz w:val="22"/>
                <w:lang w:eastAsia="en-GB"/>
              </w:rPr>
              <w:lastRenderedPageBreak/>
              <w:t>for patients</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lastRenderedPageBreak/>
              <w:t xml:space="preserve">4 </w:t>
            </w:r>
            <w:r w:rsidRPr="00066DE9">
              <w:rPr>
                <w:rFonts w:ascii="Calibri" w:eastAsia="Times New Roman" w:hAnsi="Calibri" w:cs="Calibri"/>
                <w:color w:val="000000"/>
                <w:sz w:val="22"/>
                <w:lang w:eastAsia="en-GB"/>
              </w:rPr>
              <w:br/>
              <w:t xml:space="preserve">USB chargers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FFFFCC"/>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Wheelchair Waiting area 3</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N/A</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USB chargers for patients</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FFFFCC"/>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Changing place 4</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N/A</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Desirable: Speakers to call for patients.</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870"/>
        </w:trPr>
        <w:tc>
          <w:tcPr>
            <w:tcW w:w="0" w:type="auto"/>
            <w:tcBorders>
              <w:top w:val="nil"/>
              <w:left w:val="single" w:sz="4" w:space="0" w:color="auto"/>
              <w:bottom w:val="single" w:sz="4" w:space="0" w:color="auto"/>
              <w:right w:val="single" w:sz="4" w:space="0" w:color="auto"/>
            </w:tcBorders>
            <w:shd w:val="clear" w:color="000000" w:fill="FFFFCC"/>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Reception 5</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N/A</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4x PCs + 2 printers (1x UTC and 1x ED) + 2x Phones</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14</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12</w:t>
            </w:r>
          </w:p>
        </w:tc>
      </w:tr>
      <w:tr w:rsidR="00066DE9" w:rsidRPr="00066DE9" w:rsidTr="00066DE9">
        <w:trPr>
          <w:trHeight w:val="2900"/>
        </w:trPr>
        <w:tc>
          <w:tcPr>
            <w:tcW w:w="0" w:type="auto"/>
            <w:tcBorders>
              <w:top w:val="nil"/>
              <w:left w:val="single" w:sz="4" w:space="0" w:color="auto"/>
              <w:bottom w:val="single" w:sz="4" w:space="0" w:color="auto"/>
              <w:right w:val="single" w:sz="4" w:space="0" w:color="auto"/>
            </w:tcBorders>
            <w:shd w:val="clear" w:color="000000" w:fill="FFFFCC"/>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Office UTC &amp; ULH 6</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N/A</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4x PCs + circa 2 printers (1x UTC and 1x ED) + 2x Phones (1x general use - one for local use)  </w:t>
            </w:r>
            <w:r w:rsidRPr="00066DE9">
              <w:rPr>
                <w:rFonts w:ascii="Calibri" w:eastAsia="Times New Roman" w:hAnsi="Calibri" w:cs="Calibri"/>
                <w:color w:val="000000"/>
                <w:sz w:val="22"/>
                <w:lang w:eastAsia="en-GB"/>
              </w:rPr>
              <w:br/>
            </w:r>
            <w:r w:rsidRPr="00066DE9">
              <w:rPr>
                <w:rFonts w:ascii="Calibri" w:eastAsia="Times New Roman" w:hAnsi="Calibri" w:cs="Calibri"/>
                <w:color w:val="000000"/>
                <w:sz w:val="22"/>
                <w:lang w:eastAsia="en-GB"/>
              </w:rPr>
              <w:lastRenderedPageBreak/>
              <w:br/>
              <w:t xml:space="preserve">To consider charging units for the Porter Radios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lastRenderedPageBreak/>
              <w:t>16</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12</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FFFFCC"/>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ACC WC 7+8</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N/A</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Desirable: Speakers to call for patients.</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580"/>
        </w:trPr>
        <w:tc>
          <w:tcPr>
            <w:tcW w:w="0" w:type="auto"/>
            <w:tcBorders>
              <w:top w:val="nil"/>
              <w:left w:val="single" w:sz="4" w:space="0" w:color="auto"/>
              <w:bottom w:val="single" w:sz="4" w:space="0" w:color="auto"/>
              <w:right w:val="single" w:sz="4" w:space="0" w:color="auto"/>
            </w:tcBorders>
            <w:shd w:val="clear" w:color="000000" w:fill="FFFFCC"/>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Vending - Family Room 9</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N/A</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Table + a sofa unit </w:t>
            </w:r>
            <w:r w:rsidRPr="00066DE9">
              <w:rPr>
                <w:rFonts w:ascii="Calibri" w:eastAsia="Times New Roman" w:hAnsi="Calibri" w:cs="Calibri"/>
                <w:color w:val="000000"/>
                <w:sz w:val="22"/>
                <w:lang w:eastAsia="en-GB"/>
              </w:rPr>
              <w:br/>
              <w:t>USB chargers for patients</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FFFFCC"/>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Nappy Change 10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N/A</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Desirable: Speakers to call for patients.</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1440"/>
        </w:trPr>
        <w:tc>
          <w:tcPr>
            <w:tcW w:w="0" w:type="auto"/>
            <w:tcBorders>
              <w:top w:val="nil"/>
              <w:left w:val="single" w:sz="4" w:space="0" w:color="auto"/>
              <w:bottom w:val="single" w:sz="4" w:space="0" w:color="auto"/>
              <w:right w:val="single" w:sz="4" w:space="0" w:color="auto"/>
            </w:tcBorders>
            <w:shd w:val="clear" w:color="000000" w:fill="FFC7CE"/>
            <w:vAlign w:val="center"/>
            <w:hideMark/>
          </w:tcPr>
          <w:p w:rsidR="00066DE9" w:rsidRPr="00066DE9" w:rsidRDefault="00066DE9" w:rsidP="00066DE9">
            <w:pPr>
              <w:rPr>
                <w:rFonts w:ascii="Calibri" w:eastAsia="Times New Roman" w:hAnsi="Calibri" w:cs="Calibri"/>
                <w:color w:val="9C0006"/>
                <w:sz w:val="22"/>
                <w:lang w:eastAsia="en-GB"/>
              </w:rPr>
            </w:pPr>
            <w:r w:rsidRPr="00066DE9">
              <w:rPr>
                <w:rFonts w:ascii="Calibri" w:eastAsia="Times New Roman" w:hAnsi="Calibri" w:cs="Calibri"/>
                <w:color w:val="9C0006"/>
                <w:sz w:val="22"/>
                <w:lang w:eastAsia="en-GB"/>
              </w:rPr>
              <w:t>Triage 11</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FFFFFF"/>
                <w:sz w:val="22"/>
                <w:lang w:eastAsia="en-GB"/>
              </w:rPr>
            </w:pPr>
            <w:r w:rsidRPr="00066DE9">
              <w:rPr>
                <w:rFonts w:ascii="Calibri" w:eastAsia="Times New Roman" w:hAnsi="Calibri" w:cs="Calibri"/>
                <w:color w:val="FFFFFF"/>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1 x VS900 </w:t>
            </w:r>
            <w:proofErr w:type="spellStart"/>
            <w:r w:rsidRPr="00066DE9">
              <w:rPr>
                <w:rFonts w:ascii="Calibri" w:eastAsia="Times New Roman" w:hAnsi="Calibri" w:cs="Calibri"/>
                <w:color w:val="000000"/>
                <w:sz w:val="22"/>
                <w:lang w:eastAsia="en-GB"/>
              </w:rPr>
              <w:t>Obs</w:t>
            </w:r>
            <w:proofErr w:type="spellEnd"/>
            <w:r w:rsidRPr="00066DE9">
              <w:rPr>
                <w:rFonts w:ascii="Calibri" w:eastAsia="Times New Roman" w:hAnsi="Calibri" w:cs="Calibri"/>
                <w:color w:val="000000"/>
                <w:sz w:val="22"/>
                <w:lang w:eastAsia="en-GB"/>
              </w:rPr>
              <w:t xml:space="preserve"> Monitor on the wall</w:t>
            </w:r>
            <w:r w:rsidRPr="00066DE9">
              <w:rPr>
                <w:rFonts w:ascii="Calibri" w:eastAsia="Times New Roman" w:hAnsi="Calibri" w:cs="Calibri"/>
                <w:color w:val="000000"/>
                <w:sz w:val="22"/>
                <w:lang w:eastAsia="en-GB"/>
              </w:rPr>
              <w:br/>
              <w:t>1x Thermometer</w:t>
            </w:r>
            <w:r w:rsidRPr="00066DE9">
              <w:rPr>
                <w:rFonts w:ascii="Calibri" w:eastAsia="Times New Roman" w:hAnsi="Calibri" w:cs="Calibri"/>
                <w:color w:val="000000"/>
                <w:sz w:val="22"/>
                <w:lang w:eastAsia="en-GB"/>
              </w:rPr>
              <w:br/>
              <w:t xml:space="preserve">1x </w:t>
            </w:r>
            <w:proofErr w:type="spellStart"/>
            <w:r w:rsidRPr="00066DE9">
              <w:rPr>
                <w:rFonts w:ascii="Calibri" w:eastAsia="Times New Roman" w:hAnsi="Calibri" w:cs="Calibri"/>
                <w:color w:val="000000"/>
                <w:sz w:val="22"/>
                <w:lang w:eastAsia="en-GB"/>
              </w:rPr>
              <w:t>Diag</w:t>
            </w:r>
            <w:proofErr w:type="spellEnd"/>
            <w:r w:rsidRPr="00066DE9">
              <w:rPr>
                <w:rFonts w:ascii="Calibri" w:eastAsia="Times New Roman" w:hAnsi="Calibri" w:cs="Calibri"/>
                <w:color w:val="000000"/>
                <w:sz w:val="22"/>
                <w:lang w:eastAsia="en-GB"/>
              </w:rPr>
              <w:t xml:space="preserve"> Set (</w:t>
            </w:r>
            <w:proofErr w:type="spellStart"/>
            <w:r w:rsidRPr="00066DE9">
              <w:rPr>
                <w:rFonts w:ascii="Calibri" w:eastAsia="Times New Roman" w:hAnsi="Calibri" w:cs="Calibri"/>
                <w:color w:val="000000"/>
                <w:sz w:val="22"/>
                <w:lang w:eastAsia="en-GB"/>
              </w:rPr>
              <w:t>ophth</w:t>
            </w:r>
            <w:proofErr w:type="spellEnd"/>
            <w:r w:rsidRPr="00066DE9">
              <w:rPr>
                <w:rFonts w:ascii="Calibri" w:eastAsia="Times New Roman" w:hAnsi="Calibri" w:cs="Calibri"/>
                <w:color w:val="000000"/>
                <w:sz w:val="22"/>
                <w:lang w:eastAsia="en-GB"/>
              </w:rPr>
              <w:t xml:space="preserve"> &amp;</w:t>
            </w:r>
            <w:proofErr w:type="spellStart"/>
            <w:r w:rsidRPr="00066DE9">
              <w:rPr>
                <w:rFonts w:ascii="Calibri" w:eastAsia="Times New Roman" w:hAnsi="Calibri" w:cs="Calibri"/>
                <w:color w:val="000000"/>
                <w:sz w:val="22"/>
                <w:lang w:eastAsia="en-GB"/>
              </w:rPr>
              <w:t>oto</w:t>
            </w:r>
            <w:proofErr w:type="spellEnd"/>
            <w:r w:rsidRPr="00066DE9">
              <w:rPr>
                <w:rFonts w:ascii="Calibri" w:eastAsia="Times New Roman" w:hAnsi="Calibri" w:cs="Calibri"/>
                <w:color w:val="000000"/>
                <w:sz w:val="22"/>
                <w:lang w:eastAsia="en-GB"/>
              </w:rPr>
              <w:t xml:space="preserve">) </w:t>
            </w:r>
            <w:r w:rsidRPr="00066DE9">
              <w:rPr>
                <w:rFonts w:ascii="Calibri" w:eastAsia="Times New Roman" w:hAnsi="Calibri" w:cs="Calibri"/>
                <w:color w:val="000000"/>
                <w:sz w:val="22"/>
                <w:lang w:eastAsia="en-GB"/>
              </w:rPr>
              <w:lastRenderedPageBreak/>
              <w:t xml:space="preserve">Mobile </w:t>
            </w:r>
            <w:r w:rsidRPr="00066DE9">
              <w:rPr>
                <w:rFonts w:ascii="Calibri" w:eastAsia="Times New Roman" w:hAnsi="Calibri" w:cs="Calibri"/>
                <w:color w:val="000000"/>
                <w:sz w:val="22"/>
                <w:lang w:eastAsia="en-GB"/>
              </w:rPr>
              <w:br/>
              <w:t>1x Patient Couch</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lastRenderedPageBreak/>
              <w:t>3</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1x  PC No printer</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r>
      <w:tr w:rsidR="00066DE9" w:rsidRPr="00066DE9" w:rsidTr="00066DE9">
        <w:trPr>
          <w:trHeight w:val="1160"/>
        </w:trPr>
        <w:tc>
          <w:tcPr>
            <w:tcW w:w="0" w:type="auto"/>
            <w:tcBorders>
              <w:top w:val="nil"/>
              <w:left w:val="single" w:sz="4" w:space="0" w:color="auto"/>
              <w:bottom w:val="single" w:sz="4" w:space="0" w:color="auto"/>
              <w:right w:val="single" w:sz="4" w:space="0" w:color="auto"/>
            </w:tcBorders>
            <w:shd w:val="clear" w:color="000000" w:fill="FFC7CE"/>
            <w:vAlign w:val="center"/>
            <w:hideMark/>
          </w:tcPr>
          <w:p w:rsidR="00066DE9" w:rsidRPr="00066DE9" w:rsidRDefault="00066DE9" w:rsidP="00066DE9">
            <w:pPr>
              <w:rPr>
                <w:rFonts w:ascii="Calibri" w:eastAsia="Times New Roman" w:hAnsi="Calibri" w:cs="Calibri"/>
                <w:color w:val="9C0006"/>
                <w:sz w:val="22"/>
                <w:lang w:eastAsia="en-GB"/>
              </w:rPr>
            </w:pPr>
            <w:r w:rsidRPr="00066DE9">
              <w:rPr>
                <w:rFonts w:ascii="Calibri" w:eastAsia="Times New Roman" w:hAnsi="Calibri" w:cs="Calibri"/>
                <w:color w:val="9C0006"/>
                <w:sz w:val="22"/>
                <w:lang w:eastAsia="en-GB"/>
              </w:rPr>
              <w:t>Triage 12</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FFFFFF"/>
                <w:sz w:val="22"/>
                <w:lang w:eastAsia="en-GB"/>
              </w:rPr>
            </w:pPr>
            <w:r w:rsidRPr="00066DE9">
              <w:rPr>
                <w:rFonts w:ascii="Calibri" w:eastAsia="Times New Roman" w:hAnsi="Calibri" w:cs="Calibri"/>
                <w:color w:val="FFFFFF"/>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1 x VS900 </w:t>
            </w:r>
            <w:proofErr w:type="spellStart"/>
            <w:r w:rsidRPr="00066DE9">
              <w:rPr>
                <w:rFonts w:ascii="Calibri" w:eastAsia="Times New Roman" w:hAnsi="Calibri" w:cs="Calibri"/>
                <w:color w:val="000000"/>
                <w:sz w:val="22"/>
                <w:lang w:eastAsia="en-GB"/>
              </w:rPr>
              <w:t>Obs</w:t>
            </w:r>
            <w:proofErr w:type="spellEnd"/>
            <w:r w:rsidRPr="00066DE9">
              <w:rPr>
                <w:rFonts w:ascii="Calibri" w:eastAsia="Times New Roman" w:hAnsi="Calibri" w:cs="Calibri"/>
                <w:color w:val="000000"/>
                <w:sz w:val="22"/>
                <w:lang w:eastAsia="en-GB"/>
              </w:rPr>
              <w:t xml:space="preserve"> Monitor on the wall</w:t>
            </w:r>
            <w:r w:rsidRPr="00066DE9">
              <w:rPr>
                <w:rFonts w:ascii="Calibri" w:eastAsia="Times New Roman" w:hAnsi="Calibri" w:cs="Calibri"/>
                <w:color w:val="000000"/>
                <w:sz w:val="22"/>
                <w:lang w:eastAsia="en-GB"/>
              </w:rPr>
              <w:br/>
              <w:t>1x Thermometer</w:t>
            </w:r>
            <w:r w:rsidRPr="00066DE9">
              <w:rPr>
                <w:rFonts w:ascii="Calibri" w:eastAsia="Times New Roman" w:hAnsi="Calibri" w:cs="Calibri"/>
                <w:color w:val="000000"/>
                <w:sz w:val="22"/>
                <w:lang w:eastAsia="en-GB"/>
              </w:rPr>
              <w:br/>
              <w:t xml:space="preserve">1x </w:t>
            </w:r>
            <w:proofErr w:type="spellStart"/>
            <w:r w:rsidRPr="00066DE9">
              <w:rPr>
                <w:rFonts w:ascii="Calibri" w:eastAsia="Times New Roman" w:hAnsi="Calibri" w:cs="Calibri"/>
                <w:color w:val="000000"/>
                <w:sz w:val="22"/>
                <w:lang w:eastAsia="en-GB"/>
              </w:rPr>
              <w:t>Diag</w:t>
            </w:r>
            <w:proofErr w:type="spellEnd"/>
            <w:r w:rsidRPr="00066DE9">
              <w:rPr>
                <w:rFonts w:ascii="Calibri" w:eastAsia="Times New Roman" w:hAnsi="Calibri" w:cs="Calibri"/>
                <w:color w:val="000000"/>
                <w:sz w:val="22"/>
                <w:lang w:eastAsia="en-GB"/>
              </w:rPr>
              <w:t xml:space="preserve"> Set (</w:t>
            </w:r>
            <w:proofErr w:type="spellStart"/>
            <w:r w:rsidRPr="00066DE9">
              <w:rPr>
                <w:rFonts w:ascii="Calibri" w:eastAsia="Times New Roman" w:hAnsi="Calibri" w:cs="Calibri"/>
                <w:color w:val="000000"/>
                <w:sz w:val="22"/>
                <w:lang w:eastAsia="en-GB"/>
              </w:rPr>
              <w:t>ophth</w:t>
            </w:r>
            <w:proofErr w:type="spellEnd"/>
            <w:r w:rsidRPr="00066DE9">
              <w:rPr>
                <w:rFonts w:ascii="Calibri" w:eastAsia="Times New Roman" w:hAnsi="Calibri" w:cs="Calibri"/>
                <w:color w:val="000000"/>
                <w:sz w:val="22"/>
                <w:lang w:eastAsia="en-GB"/>
              </w:rPr>
              <w:t xml:space="preserve"> &amp;</w:t>
            </w:r>
            <w:proofErr w:type="spellStart"/>
            <w:r w:rsidRPr="00066DE9">
              <w:rPr>
                <w:rFonts w:ascii="Calibri" w:eastAsia="Times New Roman" w:hAnsi="Calibri" w:cs="Calibri"/>
                <w:color w:val="000000"/>
                <w:sz w:val="22"/>
                <w:lang w:eastAsia="en-GB"/>
              </w:rPr>
              <w:t>oto</w:t>
            </w:r>
            <w:proofErr w:type="spellEnd"/>
            <w:r w:rsidRPr="00066DE9">
              <w:rPr>
                <w:rFonts w:ascii="Calibri" w:eastAsia="Times New Roman" w:hAnsi="Calibri" w:cs="Calibri"/>
                <w:color w:val="000000"/>
                <w:sz w:val="22"/>
                <w:lang w:eastAsia="en-GB"/>
              </w:rPr>
              <w:t xml:space="preserve">) Mobile </w:t>
            </w:r>
            <w:r w:rsidRPr="00066DE9">
              <w:rPr>
                <w:rFonts w:ascii="Calibri" w:eastAsia="Times New Roman" w:hAnsi="Calibri" w:cs="Calibri"/>
                <w:color w:val="000000"/>
                <w:sz w:val="22"/>
                <w:lang w:eastAsia="en-GB"/>
              </w:rPr>
              <w:br/>
              <w:t>1x Patient Couch</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3</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1x  PC No printer</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r>
      <w:tr w:rsidR="00066DE9" w:rsidRPr="00066DE9" w:rsidTr="00066DE9">
        <w:trPr>
          <w:trHeight w:val="2320"/>
        </w:trPr>
        <w:tc>
          <w:tcPr>
            <w:tcW w:w="0" w:type="auto"/>
            <w:tcBorders>
              <w:top w:val="nil"/>
              <w:left w:val="single" w:sz="4" w:space="0" w:color="auto"/>
              <w:bottom w:val="single" w:sz="4" w:space="0" w:color="auto"/>
              <w:right w:val="single" w:sz="4" w:space="0" w:color="auto"/>
            </w:tcBorders>
            <w:shd w:val="clear" w:color="000000" w:fill="FFC7CE"/>
            <w:vAlign w:val="center"/>
            <w:hideMark/>
          </w:tcPr>
          <w:p w:rsidR="00066DE9" w:rsidRPr="00066DE9" w:rsidRDefault="00066DE9" w:rsidP="00066DE9">
            <w:pPr>
              <w:rPr>
                <w:rFonts w:ascii="Calibri" w:eastAsia="Times New Roman" w:hAnsi="Calibri" w:cs="Calibri"/>
                <w:color w:val="9C0006"/>
                <w:sz w:val="22"/>
                <w:lang w:eastAsia="en-GB"/>
              </w:rPr>
            </w:pPr>
            <w:proofErr w:type="spellStart"/>
            <w:r w:rsidRPr="00066DE9">
              <w:rPr>
                <w:rFonts w:ascii="Calibri" w:eastAsia="Times New Roman" w:hAnsi="Calibri" w:cs="Calibri"/>
                <w:color w:val="9C0006"/>
                <w:sz w:val="22"/>
                <w:lang w:eastAsia="en-GB"/>
              </w:rPr>
              <w:t>Obs</w:t>
            </w:r>
            <w:proofErr w:type="spellEnd"/>
            <w:r w:rsidRPr="00066DE9">
              <w:rPr>
                <w:rFonts w:ascii="Calibri" w:eastAsia="Times New Roman" w:hAnsi="Calibri" w:cs="Calibri"/>
                <w:color w:val="9C0006"/>
                <w:sz w:val="22"/>
                <w:lang w:eastAsia="en-GB"/>
              </w:rPr>
              <w:t>/ Phlebotomy 13</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FFFFFF"/>
                <w:sz w:val="22"/>
                <w:lang w:eastAsia="en-GB"/>
              </w:rPr>
            </w:pPr>
            <w:r w:rsidRPr="00066DE9">
              <w:rPr>
                <w:rFonts w:ascii="Calibri" w:eastAsia="Times New Roman" w:hAnsi="Calibri" w:cs="Calibri"/>
                <w:color w:val="FFFFFF"/>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1 x Patient Monitor with 3/5 ECG no CO2   </w:t>
            </w:r>
            <w:r w:rsidRPr="00066DE9">
              <w:rPr>
                <w:rFonts w:ascii="Calibri" w:eastAsia="Times New Roman" w:hAnsi="Calibri" w:cs="Calibri"/>
                <w:color w:val="000000"/>
                <w:sz w:val="22"/>
                <w:lang w:eastAsia="en-GB"/>
              </w:rPr>
              <w:br/>
              <w:t>1x Thermometer</w:t>
            </w:r>
            <w:r w:rsidRPr="00066DE9">
              <w:rPr>
                <w:rFonts w:ascii="Calibri" w:eastAsia="Times New Roman" w:hAnsi="Calibri" w:cs="Calibri"/>
                <w:color w:val="000000"/>
                <w:sz w:val="22"/>
                <w:lang w:eastAsia="en-GB"/>
              </w:rPr>
              <w:br/>
              <w:t>1x mobile ECG 12 Lead</w:t>
            </w:r>
            <w:r w:rsidRPr="00066DE9">
              <w:rPr>
                <w:rFonts w:ascii="Calibri" w:eastAsia="Times New Roman" w:hAnsi="Calibri" w:cs="Calibri"/>
                <w:color w:val="000000"/>
                <w:sz w:val="22"/>
                <w:lang w:eastAsia="en-GB"/>
              </w:rPr>
              <w:br/>
              <w:t>1x Blood Gas Analyser</w:t>
            </w:r>
            <w:r w:rsidRPr="00066DE9">
              <w:rPr>
                <w:rFonts w:ascii="Calibri" w:eastAsia="Times New Roman" w:hAnsi="Calibri" w:cs="Calibri"/>
                <w:color w:val="000000"/>
                <w:sz w:val="22"/>
                <w:lang w:eastAsia="en-GB"/>
              </w:rPr>
              <w:br/>
              <w:t>no printer required</w:t>
            </w:r>
            <w:r w:rsidRPr="00066DE9">
              <w:rPr>
                <w:rFonts w:ascii="Calibri" w:eastAsia="Times New Roman" w:hAnsi="Calibri" w:cs="Calibri"/>
                <w:color w:val="000000"/>
                <w:sz w:val="22"/>
                <w:lang w:eastAsia="en-GB"/>
              </w:rPr>
              <w:br/>
              <w:t>1x Patient Trolley  not x-</w:t>
            </w:r>
            <w:proofErr w:type="spellStart"/>
            <w:r w:rsidRPr="00066DE9">
              <w:rPr>
                <w:rFonts w:ascii="Calibri" w:eastAsia="Times New Roman" w:hAnsi="Calibri" w:cs="Calibri"/>
                <w:color w:val="000000"/>
                <w:sz w:val="22"/>
                <w:lang w:eastAsia="en-GB"/>
              </w:rPr>
              <w:t>rayable</w:t>
            </w:r>
            <w:proofErr w:type="spellEnd"/>
            <w:r w:rsidRPr="00066DE9">
              <w:rPr>
                <w:rFonts w:ascii="Calibri" w:eastAsia="Times New Roman" w:hAnsi="Calibri" w:cs="Calibri"/>
                <w:color w:val="000000"/>
                <w:sz w:val="22"/>
                <w:lang w:eastAsia="en-GB"/>
              </w:rPr>
              <w:t xml:space="preserve"> (ambulant patients)</w:t>
            </w:r>
            <w:r w:rsidRPr="00066DE9">
              <w:rPr>
                <w:rFonts w:ascii="Calibri" w:eastAsia="Times New Roman" w:hAnsi="Calibri" w:cs="Calibri"/>
                <w:color w:val="000000"/>
                <w:sz w:val="22"/>
                <w:lang w:eastAsia="en-GB"/>
              </w:rPr>
              <w:br/>
            </w:r>
            <w:r w:rsidRPr="00066DE9">
              <w:rPr>
                <w:rFonts w:ascii="Calibri" w:eastAsia="Times New Roman" w:hAnsi="Calibri" w:cs="Calibri"/>
                <w:color w:val="000000"/>
                <w:sz w:val="22"/>
                <w:lang w:eastAsia="en-GB"/>
              </w:rPr>
              <w:lastRenderedPageBreak/>
              <w:t>Glucose Meters Chargers</w:t>
            </w:r>
            <w:r w:rsidRPr="00066DE9">
              <w:rPr>
                <w:rFonts w:ascii="Calibri" w:eastAsia="Times New Roman" w:hAnsi="Calibri" w:cs="Calibri"/>
                <w:color w:val="000000"/>
                <w:sz w:val="22"/>
                <w:lang w:eastAsia="en-GB"/>
              </w:rPr>
              <w:br/>
              <w:t xml:space="preserve">1x </w:t>
            </w:r>
            <w:proofErr w:type="spellStart"/>
            <w:r w:rsidRPr="00066DE9">
              <w:rPr>
                <w:rFonts w:ascii="Calibri" w:eastAsia="Times New Roman" w:hAnsi="Calibri" w:cs="Calibri"/>
                <w:color w:val="000000"/>
                <w:sz w:val="22"/>
                <w:lang w:eastAsia="en-GB"/>
              </w:rPr>
              <w:t>Resus</w:t>
            </w:r>
            <w:proofErr w:type="spellEnd"/>
            <w:r w:rsidRPr="00066DE9">
              <w:rPr>
                <w:rFonts w:ascii="Calibri" w:eastAsia="Times New Roman" w:hAnsi="Calibri" w:cs="Calibri"/>
                <w:color w:val="000000"/>
                <w:sz w:val="22"/>
                <w:lang w:eastAsia="en-GB"/>
              </w:rPr>
              <w:t xml:space="preserve"> trolley</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lastRenderedPageBreak/>
              <w:t>6</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1x Printer for Blood forms</w:t>
            </w:r>
            <w:r w:rsidRPr="00066DE9">
              <w:rPr>
                <w:rFonts w:ascii="Calibri" w:eastAsia="Times New Roman" w:hAnsi="Calibri" w:cs="Calibri"/>
                <w:color w:val="000000"/>
                <w:sz w:val="22"/>
                <w:lang w:eastAsia="en-GB"/>
              </w:rPr>
              <w:br/>
              <w:t xml:space="preserve">1x PC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r>
      <w:tr w:rsidR="00066DE9" w:rsidRPr="00066DE9" w:rsidTr="00066DE9">
        <w:trPr>
          <w:trHeight w:val="870"/>
        </w:trPr>
        <w:tc>
          <w:tcPr>
            <w:tcW w:w="0" w:type="auto"/>
            <w:tcBorders>
              <w:top w:val="nil"/>
              <w:left w:val="single" w:sz="4" w:space="0" w:color="auto"/>
              <w:bottom w:val="single" w:sz="4" w:space="0" w:color="auto"/>
              <w:right w:val="single" w:sz="4" w:space="0" w:color="auto"/>
            </w:tcBorders>
            <w:shd w:val="clear" w:color="000000" w:fill="FFC7CE"/>
            <w:vAlign w:val="center"/>
            <w:hideMark/>
          </w:tcPr>
          <w:p w:rsidR="00066DE9" w:rsidRPr="00066DE9" w:rsidRDefault="00066DE9" w:rsidP="00066DE9">
            <w:pPr>
              <w:rPr>
                <w:rFonts w:ascii="Calibri" w:eastAsia="Times New Roman" w:hAnsi="Calibri" w:cs="Calibri"/>
                <w:color w:val="9C0006"/>
                <w:sz w:val="22"/>
                <w:lang w:eastAsia="en-GB"/>
              </w:rPr>
            </w:pPr>
            <w:r w:rsidRPr="00066DE9">
              <w:rPr>
                <w:rFonts w:ascii="Calibri" w:eastAsia="Times New Roman" w:hAnsi="Calibri" w:cs="Calibri"/>
                <w:color w:val="9C0006"/>
                <w:sz w:val="22"/>
                <w:lang w:eastAsia="en-GB"/>
              </w:rPr>
              <w:t>Store 14</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FFFFFF"/>
                <w:sz w:val="22"/>
                <w:lang w:eastAsia="en-GB"/>
              </w:rPr>
            </w:pPr>
            <w:r w:rsidRPr="00066DE9">
              <w:rPr>
                <w:rFonts w:ascii="Calibri" w:eastAsia="Times New Roman" w:hAnsi="Calibri" w:cs="Calibri"/>
                <w:color w:val="FFFFFF"/>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General store no med equipment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Not done on 20/09 - is this LCHS??</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Not done on 20/09 - is this LCHS??</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r>
      <w:tr w:rsidR="00066DE9" w:rsidRPr="00066DE9" w:rsidTr="00066DE9">
        <w:trPr>
          <w:trHeight w:val="870"/>
        </w:trPr>
        <w:tc>
          <w:tcPr>
            <w:tcW w:w="0" w:type="auto"/>
            <w:tcBorders>
              <w:top w:val="nil"/>
              <w:left w:val="single" w:sz="4" w:space="0" w:color="auto"/>
              <w:bottom w:val="single" w:sz="4" w:space="0" w:color="auto"/>
              <w:right w:val="single" w:sz="4" w:space="0" w:color="auto"/>
            </w:tcBorders>
            <w:shd w:val="clear" w:color="000000" w:fill="FFC7CE"/>
            <w:vAlign w:val="center"/>
            <w:hideMark/>
          </w:tcPr>
          <w:p w:rsidR="00066DE9" w:rsidRPr="00066DE9" w:rsidRDefault="00066DE9" w:rsidP="00066DE9">
            <w:pPr>
              <w:rPr>
                <w:rFonts w:ascii="Calibri" w:eastAsia="Times New Roman" w:hAnsi="Calibri" w:cs="Calibri"/>
                <w:color w:val="9C0006"/>
                <w:sz w:val="22"/>
                <w:lang w:eastAsia="en-GB"/>
              </w:rPr>
            </w:pPr>
            <w:r w:rsidRPr="00066DE9">
              <w:rPr>
                <w:rFonts w:ascii="Calibri" w:eastAsia="Times New Roman" w:hAnsi="Calibri" w:cs="Calibri"/>
                <w:color w:val="9C0006"/>
                <w:sz w:val="22"/>
                <w:lang w:eastAsia="en-GB"/>
              </w:rPr>
              <w:t>Linen 15</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FFFFFF"/>
                <w:sz w:val="22"/>
                <w:lang w:eastAsia="en-GB"/>
              </w:rPr>
            </w:pPr>
            <w:r w:rsidRPr="00066DE9">
              <w:rPr>
                <w:rFonts w:ascii="Calibri" w:eastAsia="Times New Roman" w:hAnsi="Calibri" w:cs="Calibri"/>
                <w:color w:val="FFFFFF"/>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N/A</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Not done on 20/09 - is this LCHS??</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Not done on 20/09 - is this LCHS??</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r>
      <w:tr w:rsidR="00066DE9" w:rsidRPr="00066DE9" w:rsidTr="00066DE9">
        <w:trPr>
          <w:trHeight w:val="870"/>
        </w:trPr>
        <w:tc>
          <w:tcPr>
            <w:tcW w:w="0" w:type="auto"/>
            <w:tcBorders>
              <w:top w:val="nil"/>
              <w:left w:val="single" w:sz="4" w:space="0" w:color="auto"/>
              <w:bottom w:val="single" w:sz="4" w:space="0" w:color="auto"/>
              <w:right w:val="single" w:sz="4" w:space="0" w:color="auto"/>
            </w:tcBorders>
            <w:shd w:val="clear" w:color="000000" w:fill="FFC7CE"/>
            <w:vAlign w:val="center"/>
            <w:hideMark/>
          </w:tcPr>
          <w:p w:rsidR="00066DE9" w:rsidRPr="00066DE9" w:rsidRDefault="00066DE9" w:rsidP="00066DE9">
            <w:pPr>
              <w:rPr>
                <w:rFonts w:ascii="Calibri" w:eastAsia="Times New Roman" w:hAnsi="Calibri" w:cs="Calibri"/>
                <w:color w:val="9C0006"/>
                <w:sz w:val="22"/>
                <w:lang w:eastAsia="en-GB"/>
              </w:rPr>
            </w:pPr>
            <w:r w:rsidRPr="00066DE9">
              <w:rPr>
                <w:rFonts w:ascii="Calibri" w:eastAsia="Times New Roman" w:hAnsi="Calibri" w:cs="Calibri"/>
                <w:color w:val="9C0006"/>
                <w:sz w:val="22"/>
                <w:lang w:eastAsia="en-GB"/>
              </w:rPr>
              <w:t>Consult/</w:t>
            </w:r>
            <w:r w:rsidRPr="00066DE9">
              <w:rPr>
                <w:rFonts w:ascii="Calibri" w:eastAsia="Times New Roman" w:hAnsi="Calibri" w:cs="Calibri"/>
                <w:color w:val="9C0006"/>
                <w:sz w:val="22"/>
                <w:lang w:eastAsia="en-GB"/>
              </w:rPr>
              <w:br/>
              <w:t>Exam 16-23</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FFFFFF"/>
                <w:sz w:val="22"/>
                <w:lang w:eastAsia="en-GB"/>
              </w:rPr>
            </w:pPr>
            <w:r w:rsidRPr="00066DE9">
              <w:rPr>
                <w:rFonts w:ascii="Calibri" w:eastAsia="Times New Roman" w:hAnsi="Calibri" w:cs="Calibri"/>
                <w:color w:val="FFFFFF"/>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To mirror UTC from LCH.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Not done on 20/09 - is this LCHS??</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Not done on 20/09 - is this LCHS??</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F8CBAD"/>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ACCWC 31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Hoist - wall mounted - Confirm with H&amp;S Already in use at PHB</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1450"/>
        </w:trPr>
        <w:tc>
          <w:tcPr>
            <w:tcW w:w="0" w:type="auto"/>
            <w:tcBorders>
              <w:top w:val="nil"/>
              <w:left w:val="single" w:sz="4" w:space="0" w:color="auto"/>
              <w:bottom w:val="single" w:sz="4" w:space="0" w:color="auto"/>
              <w:right w:val="single" w:sz="4" w:space="0" w:color="auto"/>
            </w:tcBorders>
            <w:shd w:val="clear" w:color="000000" w:fill="F8CBAD"/>
            <w:vAlign w:val="center"/>
            <w:hideMark/>
          </w:tcPr>
          <w:p w:rsidR="00066DE9" w:rsidRPr="00066DE9" w:rsidRDefault="00066DE9" w:rsidP="00066DE9">
            <w:pPr>
              <w:rPr>
                <w:rFonts w:ascii="Calibri" w:eastAsia="Times New Roman" w:hAnsi="Calibri" w:cs="Calibri"/>
                <w:color w:val="000000"/>
                <w:sz w:val="22"/>
                <w:lang w:eastAsia="en-GB"/>
              </w:rPr>
            </w:pPr>
            <w:proofErr w:type="spellStart"/>
            <w:r w:rsidRPr="00066DE9">
              <w:rPr>
                <w:rFonts w:ascii="Calibri" w:eastAsia="Times New Roman" w:hAnsi="Calibri" w:cs="Calibri"/>
                <w:color w:val="000000"/>
                <w:sz w:val="22"/>
                <w:lang w:eastAsia="en-GB"/>
              </w:rPr>
              <w:lastRenderedPageBreak/>
              <w:t>Paeds</w:t>
            </w:r>
            <w:proofErr w:type="spellEnd"/>
            <w:r w:rsidRPr="00066DE9">
              <w:rPr>
                <w:rFonts w:ascii="Calibri" w:eastAsia="Times New Roman" w:hAnsi="Calibri" w:cs="Calibri"/>
                <w:color w:val="000000"/>
                <w:sz w:val="22"/>
                <w:lang w:eastAsia="en-GB"/>
              </w:rPr>
              <w:t xml:space="preserve"> Waiting Area/Play area 32</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Info Monitor; DVD player, TV?</w:t>
            </w:r>
            <w:r w:rsidRPr="00066DE9">
              <w:rPr>
                <w:rFonts w:ascii="Calibri" w:eastAsia="Times New Roman" w:hAnsi="Calibri" w:cs="Calibri"/>
                <w:color w:val="000000"/>
                <w:sz w:val="22"/>
                <w:lang w:eastAsia="en-GB"/>
              </w:rPr>
              <w:br/>
            </w:r>
            <w:r w:rsidRPr="00066DE9">
              <w:rPr>
                <w:rFonts w:ascii="Calibri" w:eastAsia="Times New Roman" w:hAnsi="Calibri" w:cs="Calibri"/>
                <w:color w:val="000000"/>
                <w:sz w:val="22"/>
                <w:lang w:eastAsia="en-GB"/>
              </w:rPr>
              <w:br/>
              <w:t>And other children toys</w:t>
            </w:r>
            <w:r w:rsidRPr="00066DE9">
              <w:rPr>
                <w:rFonts w:ascii="Calibri" w:eastAsia="Times New Roman" w:hAnsi="Calibri" w:cs="Calibri"/>
                <w:color w:val="000000"/>
                <w:sz w:val="22"/>
                <w:lang w:eastAsia="en-GB"/>
              </w:rPr>
              <w:br/>
            </w:r>
            <w:r w:rsidRPr="00066DE9">
              <w:rPr>
                <w:rFonts w:ascii="Calibri" w:eastAsia="Times New Roman" w:hAnsi="Calibri" w:cs="Calibri"/>
                <w:color w:val="000000"/>
                <w:sz w:val="22"/>
                <w:lang w:eastAsia="en-GB"/>
              </w:rPr>
              <w:br/>
              <w:t>USB charging points for patients?</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870"/>
        </w:trPr>
        <w:tc>
          <w:tcPr>
            <w:tcW w:w="0" w:type="auto"/>
            <w:tcBorders>
              <w:top w:val="nil"/>
              <w:left w:val="single" w:sz="4" w:space="0" w:color="auto"/>
              <w:bottom w:val="single" w:sz="4" w:space="0" w:color="auto"/>
              <w:right w:val="single" w:sz="4" w:space="0" w:color="auto"/>
            </w:tcBorders>
            <w:shd w:val="clear" w:color="000000" w:fill="F8CBAD"/>
            <w:vAlign w:val="center"/>
            <w:hideMark/>
          </w:tcPr>
          <w:p w:rsidR="00066DE9" w:rsidRPr="00066DE9" w:rsidRDefault="00066DE9" w:rsidP="00066DE9">
            <w:pPr>
              <w:rPr>
                <w:rFonts w:ascii="Calibri" w:eastAsia="Times New Roman" w:hAnsi="Calibri" w:cs="Calibri"/>
                <w:color w:val="000000"/>
                <w:sz w:val="22"/>
                <w:lang w:eastAsia="en-GB"/>
              </w:rPr>
            </w:pPr>
            <w:proofErr w:type="spellStart"/>
            <w:r w:rsidRPr="00066DE9">
              <w:rPr>
                <w:rFonts w:ascii="Calibri" w:eastAsia="Times New Roman" w:hAnsi="Calibri" w:cs="Calibri"/>
                <w:color w:val="000000"/>
                <w:sz w:val="22"/>
                <w:lang w:eastAsia="en-GB"/>
              </w:rPr>
              <w:t>Paeds</w:t>
            </w:r>
            <w:proofErr w:type="spellEnd"/>
            <w:r w:rsidRPr="00066DE9">
              <w:rPr>
                <w:rFonts w:ascii="Calibri" w:eastAsia="Times New Roman" w:hAnsi="Calibri" w:cs="Calibri"/>
                <w:color w:val="000000"/>
                <w:sz w:val="22"/>
                <w:lang w:eastAsia="en-GB"/>
              </w:rPr>
              <w:t xml:space="preserve"> Triage 33 - going to be Store room / Drugs Room</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Drug Fridge + </w:t>
            </w:r>
            <w:proofErr w:type="spellStart"/>
            <w:r w:rsidRPr="00066DE9">
              <w:rPr>
                <w:rFonts w:ascii="Calibri" w:eastAsia="Times New Roman" w:hAnsi="Calibri" w:cs="Calibri"/>
                <w:color w:val="000000"/>
                <w:sz w:val="22"/>
                <w:lang w:eastAsia="en-GB"/>
              </w:rPr>
              <w:t>Resus</w:t>
            </w:r>
            <w:proofErr w:type="spellEnd"/>
            <w:r w:rsidRPr="00066DE9">
              <w:rPr>
                <w:rFonts w:ascii="Calibri" w:eastAsia="Times New Roman" w:hAnsi="Calibri" w:cs="Calibri"/>
                <w:color w:val="000000"/>
                <w:sz w:val="22"/>
                <w:lang w:eastAsia="en-GB"/>
              </w:rPr>
              <w:t xml:space="preserve"> Trolley + IV poles + equipment for Charging</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14</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2900"/>
        </w:trPr>
        <w:tc>
          <w:tcPr>
            <w:tcW w:w="0" w:type="auto"/>
            <w:tcBorders>
              <w:top w:val="nil"/>
              <w:left w:val="single" w:sz="4" w:space="0" w:color="auto"/>
              <w:bottom w:val="single" w:sz="4" w:space="0" w:color="auto"/>
              <w:right w:val="single" w:sz="4" w:space="0" w:color="auto"/>
            </w:tcBorders>
            <w:shd w:val="clear" w:color="000000" w:fill="F8CBAD"/>
            <w:vAlign w:val="center"/>
            <w:hideMark/>
          </w:tcPr>
          <w:p w:rsidR="00066DE9" w:rsidRPr="00066DE9" w:rsidRDefault="00066DE9" w:rsidP="00066DE9">
            <w:pPr>
              <w:rPr>
                <w:rFonts w:ascii="Calibri" w:eastAsia="Times New Roman" w:hAnsi="Calibri" w:cs="Calibri"/>
                <w:color w:val="000000"/>
                <w:sz w:val="22"/>
                <w:lang w:eastAsia="en-GB"/>
              </w:rPr>
            </w:pPr>
            <w:proofErr w:type="spellStart"/>
            <w:r w:rsidRPr="00066DE9">
              <w:rPr>
                <w:rFonts w:ascii="Calibri" w:eastAsia="Times New Roman" w:hAnsi="Calibri" w:cs="Calibri"/>
                <w:color w:val="000000"/>
                <w:sz w:val="22"/>
                <w:lang w:eastAsia="en-GB"/>
              </w:rPr>
              <w:t>Paeds</w:t>
            </w:r>
            <w:proofErr w:type="spellEnd"/>
            <w:r w:rsidRPr="00066DE9">
              <w:rPr>
                <w:rFonts w:ascii="Calibri" w:eastAsia="Times New Roman" w:hAnsi="Calibri" w:cs="Calibri"/>
                <w:color w:val="000000"/>
                <w:sz w:val="22"/>
                <w:lang w:eastAsia="en-GB"/>
              </w:rPr>
              <w:t xml:space="preserve"> Consult Room 34-36</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Treated Like Major Rooms</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TV + DVD facility</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Patient trolleys - </w:t>
            </w:r>
            <w:proofErr w:type="spellStart"/>
            <w:r w:rsidRPr="00066DE9">
              <w:rPr>
                <w:rFonts w:ascii="Calibri" w:eastAsia="Times New Roman" w:hAnsi="Calibri" w:cs="Calibri"/>
                <w:color w:val="000000"/>
                <w:sz w:val="22"/>
                <w:lang w:eastAsia="en-GB"/>
              </w:rPr>
              <w:t>xrable</w:t>
            </w:r>
            <w:proofErr w:type="spellEnd"/>
            <w:r w:rsidRPr="00066DE9">
              <w:rPr>
                <w:rFonts w:ascii="Calibri" w:eastAsia="Times New Roman" w:hAnsi="Calibri" w:cs="Calibri"/>
                <w:color w:val="000000"/>
                <w:sz w:val="22"/>
                <w:lang w:eastAsia="en-GB"/>
              </w:rPr>
              <w:br/>
              <w:t xml:space="preserve">Patient Monitors (CO2, ECG 12 lead, Printer) + </w:t>
            </w:r>
            <w:proofErr w:type="spellStart"/>
            <w:r w:rsidRPr="00066DE9">
              <w:rPr>
                <w:rFonts w:ascii="Calibri" w:eastAsia="Times New Roman" w:hAnsi="Calibri" w:cs="Calibri"/>
                <w:color w:val="000000"/>
                <w:sz w:val="22"/>
                <w:lang w:eastAsia="en-GB"/>
              </w:rPr>
              <w:t>therm</w:t>
            </w:r>
            <w:proofErr w:type="spellEnd"/>
            <w:r w:rsidRPr="00066DE9">
              <w:rPr>
                <w:rFonts w:ascii="Calibri" w:eastAsia="Times New Roman" w:hAnsi="Calibri" w:cs="Calibri"/>
                <w:color w:val="000000"/>
                <w:sz w:val="22"/>
                <w:lang w:eastAsia="en-GB"/>
              </w:rPr>
              <w:t xml:space="preserve"> on Wall Mounted</w:t>
            </w:r>
            <w:r w:rsidRPr="00066DE9">
              <w:rPr>
                <w:rFonts w:ascii="Calibri" w:eastAsia="Times New Roman" w:hAnsi="Calibri" w:cs="Calibri"/>
                <w:color w:val="000000"/>
                <w:sz w:val="22"/>
                <w:lang w:eastAsia="en-GB"/>
              </w:rPr>
              <w:br/>
              <w:t>Diagnostic Set</w:t>
            </w:r>
            <w:r w:rsidRPr="00066DE9">
              <w:rPr>
                <w:rFonts w:ascii="Calibri" w:eastAsia="Times New Roman" w:hAnsi="Calibri" w:cs="Calibri"/>
                <w:color w:val="000000"/>
                <w:sz w:val="22"/>
                <w:lang w:eastAsia="en-GB"/>
              </w:rPr>
              <w:br/>
              <w:t>confirmed no slave monitors</w:t>
            </w:r>
            <w:r w:rsidRPr="00066DE9">
              <w:rPr>
                <w:rFonts w:ascii="Calibri" w:eastAsia="Times New Roman" w:hAnsi="Calibri" w:cs="Calibri"/>
                <w:color w:val="000000"/>
                <w:sz w:val="22"/>
                <w:lang w:eastAsia="en-GB"/>
              </w:rPr>
              <w:br/>
              <w:t xml:space="preserve">No dedicated but will have to </w:t>
            </w:r>
            <w:r w:rsidRPr="00066DE9">
              <w:rPr>
                <w:rFonts w:ascii="Calibri" w:eastAsia="Times New Roman" w:hAnsi="Calibri" w:cs="Calibri"/>
                <w:color w:val="000000"/>
                <w:sz w:val="22"/>
                <w:lang w:eastAsia="en-GB"/>
              </w:rPr>
              <w:lastRenderedPageBreak/>
              <w:t>plug in: syringe drivers + volumetric pumps + US</w:t>
            </w:r>
            <w:r w:rsidRPr="00066DE9">
              <w:rPr>
                <w:rFonts w:ascii="Calibri" w:eastAsia="Times New Roman" w:hAnsi="Calibri" w:cs="Calibri"/>
                <w:color w:val="000000"/>
                <w:sz w:val="22"/>
                <w:lang w:eastAsia="en-GB"/>
              </w:rPr>
              <w:br/>
              <w:t>Ceiling mounted lights - TBC</w:t>
            </w:r>
            <w:r w:rsidRPr="00066DE9">
              <w:rPr>
                <w:rFonts w:ascii="Calibri" w:eastAsia="Times New Roman" w:hAnsi="Calibri" w:cs="Calibri"/>
                <w:color w:val="000000"/>
                <w:sz w:val="22"/>
                <w:lang w:eastAsia="en-GB"/>
              </w:rPr>
              <w:br/>
              <w:t>1x nebuliser</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lastRenderedPageBreak/>
              <w:t>8</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No PCs - located in the staff base</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2030"/>
        </w:trPr>
        <w:tc>
          <w:tcPr>
            <w:tcW w:w="0" w:type="auto"/>
            <w:tcBorders>
              <w:top w:val="nil"/>
              <w:left w:val="single" w:sz="4" w:space="0" w:color="auto"/>
              <w:bottom w:val="single" w:sz="4" w:space="0" w:color="auto"/>
              <w:right w:val="single" w:sz="4" w:space="0" w:color="auto"/>
            </w:tcBorders>
            <w:shd w:val="clear" w:color="000000" w:fill="F8CBAD"/>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Staff Base 37</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Central Station 1x monitor for 3x consul bays (wall mounted if possible)</w:t>
            </w:r>
            <w:r w:rsidRPr="00066DE9">
              <w:rPr>
                <w:rFonts w:ascii="Calibri" w:eastAsia="Times New Roman" w:hAnsi="Calibri" w:cs="Calibri"/>
                <w:color w:val="000000"/>
                <w:sz w:val="22"/>
                <w:lang w:eastAsia="en-GB"/>
              </w:rPr>
              <w:br/>
              <w:t>Blood Glucose Charging kits + charging for kids iPad</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6</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1x PC for the HCW, 1x PC for the nurse, 1x PC for the Dr + 1 Printer + phone</w:t>
            </w:r>
            <w:r w:rsidRPr="00066DE9">
              <w:rPr>
                <w:rFonts w:ascii="Calibri" w:eastAsia="Times New Roman" w:hAnsi="Calibri" w:cs="Calibri"/>
                <w:color w:val="000000"/>
                <w:sz w:val="22"/>
                <w:lang w:eastAsia="en-GB"/>
              </w:rPr>
              <w:br/>
              <w:t>Charging Cabinets for iPad TBA ICT??</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r>
      <w:tr w:rsidR="00066DE9" w:rsidRPr="00066DE9" w:rsidTr="00066DE9">
        <w:trPr>
          <w:trHeight w:val="2320"/>
        </w:trPr>
        <w:tc>
          <w:tcPr>
            <w:tcW w:w="0" w:type="auto"/>
            <w:tcBorders>
              <w:top w:val="nil"/>
              <w:left w:val="single" w:sz="4" w:space="0" w:color="auto"/>
              <w:bottom w:val="single" w:sz="4" w:space="0" w:color="auto"/>
              <w:right w:val="single" w:sz="4" w:space="0" w:color="auto"/>
            </w:tcBorders>
            <w:shd w:val="clear" w:color="000000" w:fill="F8CBAD"/>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PAED Store 38 - Going to be Triage/</w:t>
            </w:r>
            <w:proofErr w:type="spellStart"/>
            <w:r w:rsidRPr="00066DE9">
              <w:rPr>
                <w:rFonts w:ascii="Calibri" w:eastAsia="Times New Roman" w:hAnsi="Calibri" w:cs="Calibri"/>
                <w:color w:val="000000"/>
                <w:sz w:val="22"/>
                <w:lang w:eastAsia="en-GB"/>
              </w:rPr>
              <w:t>Phleb</w:t>
            </w:r>
            <w:proofErr w:type="spellEnd"/>
            <w:r w:rsidRPr="00066DE9">
              <w:rPr>
                <w:rFonts w:ascii="Calibri" w:eastAsia="Times New Roman" w:hAnsi="Calibri" w:cs="Calibri"/>
                <w:color w:val="000000"/>
                <w:sz w:val="22"/>
                <w:lang w:eastAsia="en-GB"/>
              </w:rPr>
              <w:t xml:space="preserve"> Room</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Phlebotomy trolley</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1 x VS900 </w:t>
            </w:r>
            <w:proofErr w:type="spellStart"/>
            <w:r w:rsidRPr="00066DE9">
              <w:rPr>
                <w:rFonts w:ascii="Calibri" w:eastAsia="Times New Roman" w:hAnsi="Calibri" w:cs="Calibri"/>
                <w:color w:val="000000"/>
                <w:sz w:val="22"/>
                <w:lang w:eastAsia="en-GB"/>
              </w:rPr>
              <w:t>Obs</w:t>
            </w:r>
            <w:proofErr w:type="spellEnd"/>
            <w:r w:rsidRPr="00066DE9">
              <w:rPr>
                <w:rFonts w:ascii="Calibri" w:eastAsia="Times New Roman" w:hAnsi="Calibri" w:cs="Calibri"/>
                <w:color w:val="000000"/>
                <w:sz w:val="22"/>
                <w:lang w:eastAsia="en-GB"/>
              </w:rPr>
              <w:t xml:space="preserve"> Monitor on the wall + </w:t>
            </w:r>
            <w:proofErr w:type="spellStart"/>
            <w:r w:rsidRPr="00066DE9">
              <w:rPr>
                <w:rFonts w:ascii="Calibri" w:eastAsia="Times New Roman" w:hAnsi="Calibri" w:cs="Calibri"/>
                <w:color w:val="000000"/>
                <w:sz w:val="22"/>
                <w:lang w:eastAsia="en-GB"/>
              </w:rPr>
              <w:t>paeds</w:t>
            </w:r>
            <w:proofErr w:type="spellEnd"/>
            <w:r w:rsidRPr="00066DE9">
              <w:rPr>
                <w:rFonts w:ascii="Calibri" w:eastAsia="Times New Roman" w:hAnsi="Calibri" w:cs="Calibri"/>
                <w:color w:val="000000"/>
                <w:sz w:val="22"/>
                <w:lang w:eastAsia="en-GB"/>
              </w:rPr>
              <w:t xml:space="preserve"> SpO2</w:t>
            </w:r>
            <w:r w:rsidRPr="00066DE9">
              <w:rPr>
                <w:rFonts w:ascii="Calibri" w:eastAsia="Times New Roman" w:hAnsi="Calibri" w:cs="Calibri"/>
                <w:color w:val="000000"/>
                <w:sz w:val="22"/>
                <w:lang w:eastAsia="en-GB"/>
              </w:rPr>
              <w:br/>
              <w:t>1x Thermometer</w:t>
            </w:r>
            <w:r w:rsidRPr="00066DE9">
              <w:rPr>
                <w:rFonts w:ascii="Calibri" w:eastAsia="Times New Roman" w:hAnsi="Calibri" w:cs="Calibri"/>
                <w:color w:val="000000"/>
                <w:sz w:val="22"/>
                <w:lang w:eastAsia="en-GB"/>
              </w:rPr>
              <w:br/>
              <w:t xml:space="preserve">1x </w:t>
            </w:r>
            <w:proofErr w:type="spellStart"/>
            <w:r w:rsidRPr="00066DE9">
              <w:rPr>
                <w:rFonts w:ascii="Calibri" w:eastAsia="Times New Roman" w:hAnsi="Calibri" w:cs="Calibri"/>
                <w:color w:val="000000"/>
                <w:sz w:val="22"/>
                <w:lang w:eastAsia="en-GB"/>
              </w:rPr>
              <w:t>Diag</w:t>
            </w:r>
            <w:proofErr w:type="spellEnd"/>
            <w:r w:rsidRPr="00066DE9">
              <w:rPr>
                <w:rFonts w:ascii="Calibri" w:eastAsia="Times New Roman" w:hAnsi="Calibri" w:cs="Calibri"/>
                <w:color w:val="000000"/>
                <w:sz w:val="22"/>
                <w:lang w:eastAsia="en-GB"/>
              </w:rPr>
              <w:t xml:space="preserve"> Set (</w:t>
            </w:r>
            <w:proofErr w:type="spellStart"/>
            <w:r w:rsidRPr="00066DE9">
              <w:rPr>
                <w:rFonts w:ascii="Calibri" w:eastAsia="Times New Roman" w:hAnsi="Calibri" w:cs="Calibri"/>
                <w:color w:val="000000"/>
                <w:sz w:val="22"/>
                <w:lang w:eastAsia="en-GB"/>
              </w:rPr>
              <w:t>ophth</w:t>
            </w:r>
            <w:proofErr w:type="spellEnd"/>
            <w:r w:rsidRPr="00066DE9">
              <w:rPr>
                <w:rFonts w:ascii="Calibri" w:eastAsia="Times New Roman" w:hAnsi="Calibri" w:cs="Calibri"/>
                <w:color w:val="000000"/>
                <w:sz w:val="22"/>
                <w:lang w:eastAsia="en-GB"/>
              </w:rPr>
              <w:t xml:space="preserve"> &amp;</w:t>
            </w:r>
            <w:proofErr w:type="spellStart"/>
            <w:r w:rsidRPr="00066DE9">
              <w:rPr>
                <w:rFonts w:ascii="Calibri" w:eastAsia="Times New Roman" w:hAnsi="Calibri" w:cs="Calibri"/>
                <w:color w:val="000000"/>
                <w:sz w:val="22"/>
                <w:lang w:eastAsia="en-GB"/>
              </w:rPr>
              <w:t>oto</w:t>
            </w:r>
            <w:proofErr w:type="spellEnd"/>
            <w:r w:rsidRPr="00066DE9">
              <w:rPr>
                <w:rFonts w:ascii="Calibri" w:eastAsia="Times New Roman" w:hAnsi="Calibri" w:cs="Calibri"/>
                <w:color w:val="000000"/>
                <w:sz w:val="22"/>
                <w:lang w:eastAsia="en-GB"/>
              </w:rPr>
              <w:t xml:space="preserve">) Wall </w:t>
            </w:r>
            <w:r w:rsidRPr="00066DE9">
              <w:rPr>
                <w:rFonts w:ascii="Calibri" w:eastAsia="Times New Roman" w:hAnsi="Calibri" w:cs="Calibri"/>
                <w:color w:val="000000"/>
                <w:sz w:val="22"/>
                <w:lang w:eastAsia="en-GB"/>
              </w:rPr>
              <w:br/>
            </w:r>
            <w:r w:rsidRPr="00066DE9">
              <w:rPr>
                <w:rFonts w:ascii="Calibri" w:eastAsia="Times New Roman" w:hAnsi="Calibri" w:cs="Calibri"/>
                <w:color w:val="000000"/>
                <w:sz w:val="22"/>
                <w:lang w:eastAsia="en-GB"/>
              </w:rPr>
              <w:lastRenderedPageBreak/>
              <w:t>1x patient trolley</w:t>
            </w:r>
            <w:r w:rsidRPr="00066DE9">
              <w:rPr>
                <w:rFonts w:ascii="Calibri" w:eastAsia="Times New Roman" w:hAnsi="Calibri" w:cs="Calibri"/>
                <w:color w:val="000000"/>
                <w:sz w:val="22"/>
                <w:lang w:eastAsia="en-GB"/>
              </w:rPr>
              <w:br/>
              <w:t xml:space="preserve">1x Blood Gas Unit </w:t>
            </w:r>
            <w:r w:rsidRPr="00066DE9">
              <w:rPr>
                <w:rFonts w:ascii="Calibri" w:eastAsia="Times New Roman" w:hAnsi="Calibri" w:cs="Calibri"/>
                <w:color w:val="000000"/>
                <w:sz w:val="22"/>
                <w:lang w:eastAsia="en-GB"/>
              </w:rPr>
              <w:br/>
              <w:t>1x Baby Scale + 1x Stand-on scale + height.</w:t>
            </w:r>
            <w:r w:rsidRPr="00066DE9">
              <w:rPr>
                <w:rFonts w:ascii="Calibri" w:eastAsia="Times New Roman" w:hAnsi="Calibri" w:cs="Calibri"/>
                <w:color w:val="000000"/>
                <w:sz w:val="22"/>
                <w:lang w:eastAsia="en-GB"/>
              </w:rPr>
              <w:br/>
              <w:t>1x 12 ECG Diagnostics on wheels</w:t>
            </w:r>
            <w:r w:rsidRPr="00066DE9">
              <w:rPr>
                <w:rFonts w:ascii="Calibri" w:eastAsia="Times New Roman" w:hAnsi="Calibri" w:cs="Calibri"/>
                <w:color w:val="000000"/>
                <w:sz w:val="22"/>
                <w:lang w:eastAsia="en-GB"/>
              </w:rPr>
              <w:br/>
              <w:t>1x Nebuliser</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lastRenderedPageBreak/>
              <w:t>8</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1x PC + 1x Printer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RAS - Blue Zone</w:t>
            </w:r>
          </w:p>
        </w:tc>
        <w:tc>
          <w:tcPr>
            <w:tcW w:w="0" w:type="auto"/>
            <w:tcBorders>
              <w:top w:val="nil"/>
              <w:left w:val="nil"/>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r>
      <w:tr w:rsidR="00066DE9" w:rsidRPr="00066DE9" w:rsidTr="00066DE9">
        <w:trPr>
          <w:trHeight w:val="2610"/>
        </w:trPr>
        <w:tc>
          <w:tcPr>
            <w:tcW w:w="0" w:type="auto"/>
            <w:tcBorders>
              <w:top w:val="nil"/>
              <w:left w:val="single" w:sz="4" w:space="0" w:color="auto"/>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2x Triage 39 and 40 but also  </w:t>
            </w:r>
            <w:proofErr w:type="spellStart"/>
            <w:r w:rsidRPr="00066DE9">
              <w:rPr>
                <w:rFonts w:ascii="Calibri" w:eastAsia="Times New Roman" w:hAnsi="Calibri" w:cs="Calibri"/>
                <w:color w:val="000000"/>
                <w:sz w:val="22"/>
                <w:lang w:eastAsia="en-GB"/>
              </w:rPr>
              <w:t>Obs</w:t>
            </w:r>
            <w:proofErr w:type="spellEnd"/>
            <w:r w:rsidRPr="00066DE9">
              <w:rPr>
                <w:rFonts w:ascii="Calibri" w:eastAsia="Times New Roman" w:hAnsi="Calibri" w:cs="Calibri"/>
                <w:color w:val="000000"/>
                <w:sz w:val="22"/>
                <w:lang w:eastAsia="en-GB"/>
              </w:rPr>
              <w:t xml:space="preserve"> Phlebotomy 41</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Patient monitors (CO2+ print out 12 lead ECG) Wall</w:t>
            </w:r>
            <w:r w:rsidRPr="00066DE9">
              <w:rPr>
                <w:rFonts w:ascii="Calibri" w:eastAsia="Times New Roman" w:hAnsi="Calibri" w:cs="Calibri"/>
                <w:color w:val="000000"/>
                <w:sz w:val="22"/>
                <w:lang w:eastAsia="en-GB"/>
              </w:rPr>
              <w:br/>
              <w:t>1x Blood Gas (one room only)</w:t>
            </w:r>
            <w:r w:rsidRPr="00066DE9">
              <w:rPr>
                <w:rFonts w:ascii="Calibri" w:eastAsia="Times New Roman" w:hAnsi="Calibri" w:cs="Calibri"/>
                <w:color w:val="000000"/>
                <w:sz w:val="22"/>
                <w:lang w:eastAsia="en-GB"/>
              </w:rPr>
              <w:br/>
              <w:t xml:space="preserve">Diagnostic on the wall </w:t>
            </w:r>
            <w:r w:rsidRPr="00066DE9">
              <w:rPr>
                <w:rFonts w:ascii="Calibri" w:eastAsia="Times New Roman" w:hAnsi="Calibri" w:cs="Calibri"/>
                <w:color w:val="000000"/>
                <w:sz w:val="22"/>
                <w:lang w:eastAsia="en-GB"/>
              </w:rPr>
              <w:br/>
              <w:t>Stand on Scale</w:t>
            </w:r>
            <w:r w:rsidRPr="00066DE9">
              <w:rPr>
                <w:rFonts w:ascii="Calibri" w:eastAsia="Times New Roman" w:hAnsi="Calibri" w:cs="Calibri"/>
                <w:color w:val="000000"/>
                <w:sz w:val="22"/>
                <w:lang w:eastAsia="en-GB"/>
              </w:rPr>
              <w:br/>
            </w:r>
            <w:proofErr w:type="spellStart"/>
            <w:r w:rsidRPr="00066DE9">
              <w:rPr>
                <w:rFonts w:ascii="Calibri" w:eastAsia="Times New Roman" w:hAnsi="Calibri" w:cs="Calibri"/>
                <w:color w:val="000000"/>
                <w:sz w:val="22"/>
                <w:lang w:eastAsia="en-GB"/>
              </w:rPr>
              <w:t>Xrayable</w:t>
            </w:r>
            <w:proofErr w:type="spellEnd"/>
            <w:r w:rsidRPr="00066DE9">
              <w:rPr>
                <w:rFonts w:ascii="Calibri" w:eastAsia="Times New Roman" w:hAnsi="Calibri" w:cs="Calibri"/>
                <w:color w:val="000000"/>
                <w:sz w:val="22"/>
                <w:lang w:eastAsia="en-GB"/>
              </w:rPr>
              <w:t xml:space="preserve"> Patient Trolley </w:t>
            </w:r>
            <w:r w:rsidRPr="00066DE9">
              <w:rPr>
                <w:rFonts w:ascii="Calibri" w:eastAsia="Times New Roman" w:hAnsi="Calibri" w:cs="Calibri"/>
                <w:color w:val="000000"/>
                <w:sz w:val="22"/>
                <w:lang w:eastAsia="en-GB"/>
              </w:rPr>
              <w:br/>
              <w:t>thermometer</w:t>
            </w:r>
            <w:r w:rsidRPr="00066DE9">
              <w:rPr>
                <w:rFonts w:ascii="Calibri" w:eastAsia="Times New Roman" w:hAnsi="Calibri" w:cs="Calibri"/>
                <w:color w:val="000000"/>
                <w:sz w:val="22"/>
                <w:lang w:eastAsia="en-GB"/>
              </w:rPr>
              <w:br/>
              <w:t>2x 12 Lead ECG for diagnostic rolling stands - not fixed to this room</w:t>
            </w:r>
            <w:r w:rsidRPr="00066DE9">
              <w:rPr>
                <w:rFonts w:ascii="Calibri" w:eastAsia="Times New Roman" w:hAnsi="Calibri" w:cs="Calibri"/>
                <w:color w:val="000000"/>
                <w:sz w:val="22"/>
                <w:lang w:eastAsia="en-GB"/>
              </w:rPr>
              <w:br/>
              <w:t xml:space="preserve">1x </w:t>
            </w:r>
            <w:proofErr w:type="spellStart"/>
            <w:r w:rsidRPr="00066DE9">
              <w:rPr>
                <w:rFonts w:ascii="Calibri" w:eastAsia="Times New Roman" w:hAnsi="Calibri" w:cs="Calibri"/>
                <w:color w:val="000000"/>
                <w:sz w:val="22"/>
                <w:lang w:eastAsia="en-GB"/>
              </w:rPr>
              <w:t>Resus</w:t>
            </w:r>
            <w:proofErr w:type="spellEnd"/>
            <w:r w:rsidRPr="00066DE9">
              <w:rPr>
                <w:rFonts w:ascii="Calibri" w:eastAsia="Times New Roman" w:hAnsi="Calibri" w:cs="Calibri"/>
                <w:color w:val="000000"/>
                <w:sz w:val="22"/>
                <w:lang w:eastAsia="en-GB"/>
              </w:rPr>
              <w:t xml:space="preserve"> Trolley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8</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1x PC in each + 1x printer for all 3 rooms</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r>
      <w:tr w:rsidR="00066DE9" w:rsidRPr="00066DE9" w:rsidTr="00066DE9">
        <w:trPr>
          <w:trHeight w:val="2030"/>
        </w:trPr>
        <w:tc>
          <w:tcPr>
            <w:tcW w:w="0" w:type="auto"/>
            <w:tcBorders>
              <w:top w:val="nil"/>
              <w:left w:val="single" w:sz="4" w:space="0" w:color="auto"/>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lastRenderedPageBreak/>
              <w:t>Staff Base 42</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Central Station 1x monitor for 3x triage bays (wall mounted if possible)</w:t>
            </w:r>
            <w:r w:rsidRPr="00066DE9">
              <w:rPr>
                <w:rFonts w:ascii="Calibri" w:eastAsia="Times New Roman" w:hAnsi="Calibri" w:cs="Calibri"/>
                <w:color w:val="000000"/>
                <w:sz w:val="22"/>
                <w:lang w:eastAsia="en-GB"/>
              </w:rPr>
              <w:br/>
              <w:t xml:space="preserve">Blood Glucose Charging kits + charging for  </w:t>
            </w:r>
            <w:proofErr w:type="spellStart"/>
            <w:r w:rsidRPr="00066DE9">
              <w:rPr>
                <w:rFonts w:ascii="Calibri" w:eastAsia="Times New Roman" w:hAnsi="Calibri" w:cs="Calibri"/>
                <w:color w:val="000000"/>
                <w:sz w:val="22"/>
                <w:lang w:eastAsia="en-GB"/>
              </w:rPr>
              <w:t>ipads</w:t>
            </w:r>
            <w:proofErr w:type="spellEnd"/>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6</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2x PC for the HCW, 1x PC for the nurse, 2x PC for the Dr + 1 Printer + 2x phone</w:t>
            </w:r>
            <w:r w:rsidRPr="00066DE9">
              <w:rPr>
                <w:rFonts w:ascii="Calibri" w:eastAsia="Times New Roman" w:hAnsi="Calibri" w:cs="Calibri"/>
                <w:color w:val="000000"/>
                <w:sz w:val="22"/>
                <w:lang w:eastAsia="en-GB"/>
              </w:rPr>
              <w:br/>
              <w:t>Charging Cabinets for iPad TBA ICT??</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16</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6</w:t>
            </w:r>
          </w:p>
        </w:tc>
      </w:tr>
      <w:tr w:rsidR="00066DE9" w:rsidRPr="00066DE9" w:rsidTr="00066DE9">
        <w:trPr>
          <w:trHeight w:val="2320"/>
        </w:trPr>
        <w:tc>
          <w:tcPr>
            <w:tcW w:w="0" w:type="auto"/>
            <w:tcBorders>
              <w:top w:val="nil"/>
              <w:left w:val="single" w:sz="4" w:space="0" w:color="auto"/>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Fit to Sit 43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Triaged patients - receiving treatment - do not need trolleys - IV fluids/antibiotics/</w:t>
            </w:r>
            <w:proofErr w:type="gramStart"/>
            <w:r w:rsidRPr="00066DE9">
              <w:rPr>
                <w:rFonts w:ascii="Calibri" w:eastAsia="Times New Roman" w:hAnsi="Calibri" w:cs="Calibri"/>
                <w:color w:val="000000"/>
                <w:sz w:val="22"/>
                <w:lang w:eastAsia="en-GB"/>
              </w:rPr>
              <w:t>medication  -</w:t>
            </w:r>
            <w:proofErr w:type="gramEnd"/>
            <w:r w:rsidRPr="00066DE9">
              <w:rPr>
                <w:rFonts w:ascii="Calibri" w:eastAsia="Times New Roman" w:hAnsi="Calibri" w:cs="Calibri"/>
                <w:color w:val="000000"/>
                <w:sz w:val="22"/>
                <w:lang w:eastAsia="en-GB"/>
              </w:rPr>
              <w:t xml:space="preserve"> monitor with </w:t>
            </w:r>
            <w:proofErr w:type="spellStart"/>
            <w:r w:rsidRPr="00066DE9">
              <w:rPr>
                <w:rFonts w:ascii="Calibri" w:eastAsia="Times New Roman" w:hAnsi="Calibri" w:cs="Calibri"/>
                <w:color w:val="000000"/>
                <w:sz w:val="22"/>
                <w:lang w:eastAsia="en-GB"/>
              </w:rPr>
              <w:t>obs</w:t>
            </w:r>
            <w:proofErr w:type="spellEnd"/>
            <w:r w:rsidRPr="00066DE9">
              <w:rPr>
                <w:rFonts w:ascii="Calibri" w:eastAsia="Times New Roman" w:hAnsi="Calibri" w:cs="Calibri"/>
                <w:color w:val="000000"/>
                <w:sz w:val="22"/>
                <w:lang w:eastAsia="en-GB"/>
              </w:rPr>
              <w:t xml:space="preserve"> units - rounds rather than continuous obs. Monitoring. 24x spaces.</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4x </w:t>
            </w:r>
            <w:proofErr w:type="spellStart"/>
            <w:r w:rsidRPr="00066DE9">
              <w:rPr>
                <w:rFonts w:ascii="Calibri" w:eastAsia="Times New Roman" w:hAnsi="Calibri" w:cs="Calibri"/>
                <w:color w:val="000000"/>
                <w:sz w:val="22"/>
                <w:lang w:eastAsia="en-GB"/>
              </w:rPr>
              <w:t>Obs</w:t>
            </w:r>
            <w:proofErr w:type="spellEnd"/>
            <w:r w:rsidRPr="00066DE9">
              <w:rPr>
                <w:rFonts w:ascii="Calibri" w:eastAsia="Times New Roman" w:hAnsi="Calibri" w:cs="Calibri"/>
                <w:color w:val="000000"/>
                <w:sz w:val="22"/>
                <w:lang w:eastAsia="en-GB"/>
              </w:rPr>
              <w:t xml:space="preserve"> Monitors on rolling stands</w:t>
            </w:r>
            <w:r w:rsidRPr="00066DE9">
              <w:rPr>
                <w:rFonts w:ascii="Calibri" w:eastAsia="Times New Roman" w:hAnsi="Calibri" w:cs="Calibri"/>
                <w:color w:val="000000"/>
                <w:sz w:val="22"/>
                <w:lang w:eastAsia="en-GB"/>
              </w:rPr>
              <w:br/>
              <w:t>Infusions - depending on patients (each with 1 socket + USB charger as patients are going to sit likely for hours to ensure that at least an IV pumps can be plugged in.</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24 + 1 USB each</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1740"/>
        </w:trPr>
        <w:tc>
          <w:tcPr>
            <w:tcW w:w="0" w:type="auto"/>
            <w:tcBorders>
              <w:top w:val="nil"/>
              <w:left w:val="single" w:sz="4" w:space="0" w:color="auto"/>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lastRenderedPageBreak/>
              <w:t xml:space="preserve">Clean Procedure 44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Major + Wounds</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Patient monitors (Co2+ print out 12 lead ECG) Wall - central station (proper </w:t>
            </w:r>
            <w:proofErr w:type="spellStart"/>
            <w:r w:rsidRPr="00066DE9">
              <w:rPr>
                <w:rFonts w:ascii="Calibri" w:eastAsia="Times New Roman" w:hAnsi="Calibri" w:cs="Calibri"/>
                <w:color w:val="000000"/>
                <w:sz w:val="22"/>
                <w:lang w:eastAsia="en-GB"/>
              </w:rPr>
              <w:t>ecg</w:t>
            </w:r>
            <w:proofErr w:type="spellEnd"/>
            <w:r w:rsidRPr="00066DE9">
              <w:rPr>
                <w:rFonts w:ascii="Calibri" w:eastAsia="Times New Roman" w:hAnsi="Calibri" w:cs="Calibri"/>
                <w:color w:val="000000"/>
                <w:sz w:val="22"/>
                <w:lang w:eastAsia="en-GB"/>
              </w:rPr>
              <w:t xml:space="preserve"> one local anaesthetics</w:t>
            </w:r>
            <w:r w:rsidRPr="00066DE9">
              <w:rPr>
                <w:rFonts w:ascii="Calibri" w:eastAsia="Times New Roman" w:hAnsi="Calibri" w:cs="Calibri"/>
                <w:color w:val="000000"/>
                <w:sz w:val="22"/>
                <w:lang w:eastAsia="en-GB"/>
              </w:rPr>
              <w:br/>
              <w:t>Diagnostic on stand</w:t>
            </w:r>
            <w:r w:rsidRPr="00066DE9">
              <w:rPr>
                <w:rFonts w:ascii="Calibri" w:eastAsia="Times New Roman" w:hAnsi="Calibri" w:cs="Calibri"/>
                <w:color w:val="000000"/>
                <w:sz w:val="22"/>
                <w:lang w:eastAsia="en-GB"/>
              </w:rPr>
              <w:br/>
            </w:r>
            <w:proofErr w:type="spellStart"/>
            <w:r w:rsidRPr="00066DE9">
              <w:rPr>
                <w:rFonts w:ascii="Calibri" w:eastAsia="Times New Roman" w:hAnsi="Calibri" w:cs="Calibri"/>
                <w:color w:val="000000"/>
                <w:sz w:val="22"/>
                <w:lang w:eastAsia="en-GB"/>
              </w:rPr>
              <w:t>Xrayable</w:t>
            </w:r>
            <w:proofErr w:type="spellEnd"/>
            <w:r w:rsidRPr="00066DE9">
              <w:rPr>
                <w:rFonts w:ascii="Calibri" w:eastAsia="Times New Roman" w:hAnsi="Calibri" w:cs="Calibri"/>
                <w:color w:val="000000"/>
                <w:sz w:val="22"/>
                <w:lang w:eastAsia="en-GB"/>
              </w:rPr>
              <w:t xml:space="preserve"> Patient Trolley </w:t>
            </w:r>
            <w:r w:rsidRPr="00066DE9">
              <w:rPr>
                <w:rFonts w:ascii="Calibri" w:eastAsia="Times New Roman" w:hAnsi="Calibri" w:cs="Calibri"/>
                <w:color w:val="000000"/>
                <w:sz w:val="22"/>
                <w:lang w:eastAsia="en-GB"/>
              </w:rPr>
              <w:br/>
              <w:t>1x thermometer</w:t>
            </w:r>
            <w:r w:rsidRPr="00066DE9">
              <w:rPr>
                <w:rFonts w:ascii="Calibri" w:eastAsia="Times New Roman" w:hAnsi="Calibri" w:cs="Calibri"/>
                <w:color w:val="000000"/>
                <w:sz w:val="22"/>
                <w:lang w:eastAsia="en-GB"/>
              </w:rPr>
              <w:br/>
              <w:t>1x Ceiling light Major wounds</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No PC no printer</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1450"/>
        </w:trPr>
        <w:tc>
          <w:tcPr>
            <w:tcW w:w="0" w:type="auto"/>
            <w:tcBorders>
              <w:top w:val="nil"/>
              <w:left w:val="single" w:sz="4" w:space="0" w:color="auto"/>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CE/</w:t>
            </w:r>
            <w:proofErr w:type="spellStart"/>
            <w:r w:rsidRPr="00066DE9">
              <w:rPr>
                <w:rFonts w:ascii="Calibri" w:eastAsia="Times New Roman" w:hAnsi="Calibri" w:cs="Calibri"/>
                <w:color w:val="000000"/>
                <w:sz w:val="22"/>
                <w:lang w:eastAsia="en-GB"/>
              </w:rPr>
              <w:t>Gynae</w:t>
            </w:r>
            <w:proofErr w:type="spellEnd"/>
            <w:r w:rsidRPr="00066DE9">
              <w:rPr>
                <w:rFonts w:ascii="Calibri" w:eastAsia="Times New Roman" w:hAnsi="Calibri" w:cs="Calibri"/>
                <w:color w:val="000000"/>
                <w:sz w:val="22"/>
                <w:lang w:eastAsia="en-GB"/>
              </w:rPr>
              <w:t xml:space="preserve"> 45</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proofErr w:type="spellStart"/>
            <w:r w:rsidRPr="00066DE9">
              <w:rPr>
                <w:rFonts w:ascii="Calibri" w:eastAsia="Times New Roman" w:hAnsi="Calibri" w:cs="Calibri"/>
                <w:color w:val="000000"/>
                <w:sz w:val="22"/>
                <w:lang w:eastAsia="en-GB"/>
              </w:rPr>
              <w:t>Obs</w:t>
            </w:r>
            <w:proofErr w:type="spellEnd"/>
            <w:r w:rsidRPr="00066DE9">
              <w:rPr>
                <w:rFonts w:ascii="Calibri" w:eastAsia="Times New Roman" w:hAnsi="Calibri" w:cs="Calibri"/>
                <w:color w:val="000000"/>
                <w:sz w:val="22"/>
                <w:lang w:eastAsia="en-GB"/>
              </w:rPr>
              <w:t xml:space="preserve"> Monitors VS900Wall - central station</w:t>
            </w:r>
            <w:r w:rsidRPr="00066DE9">
              <w:rPr>
                <w:rFonts w:ascii="Calibri" w:eastAsia="Times New Roman" w:hAnsi="Calibri" w:cs="Calibri"/>
                <w:color w:val="000000"/>
                <w:sz w:val="22"/>
                <w:lang w:eastAsia="en-GB"/>
              </w:rPr>
              <w:br/>
              <w:t>Diagnostic on stand</w:t>
            </w:r>
            <w:r w:rsidRPr="00066DE9">
              <w:rPr>
                <w:rFonts w:ascii="Calibri" w:eastAsia="Times New Roman" w:hAnsi="Calibri" w:cs="Calibri"/>
                <w:color w:val="000000"/>
                <w:sz w:val="22"/>
                <w:lang w:eastAsia="en-GB"/>
              </w:rPr>
              <w:br/>
              <w:t>Lithotomy Patient Trolley (leg up)</w:t>
            </w:r>
            <w:r w:rsidRPr="00066DE9">
              <w:rPr>
                <w:rFonts w:ascii="Calibri" w:eastAsia="Times New Roman" w:hAnsi="Calibri" w:cs="Calibri"/>
                <w:color w:val="000000"/>
                <w:sz w:val="22"/>
                <w:lang w:eastAsia="en-GB"/>
              </w:rPr>
              <w:br/>
              <w:t>1x thermometer</w:t>
            </w:r>
            <w:r w:rsidRPr="00066DE9">
              <w:rPr>
                <w:rFonts w:ascii="Calibri" w:eastAsia="Times New Roman" w:hAnsi="Calibri" w:cs="Calibri"/>
                <w:color w:val="000000"/>
                <w:sz w:val="22"/>
                <w:lang w:eastAsia="en-GB"/>
              </w:rPr>
              <w:br/>
              <w:t xml:space="preserve">1x </w:t>
            </w:r>
            <w:proofErr w:type="spellStart"/>
            <w:r w:rsidRPr="00066DE9">
              <w:rPr>
                <w:rFonts w:ascii="Calibri" w:eastAsia="Times New Roman" w:hAnsi="Calibri" w:cs="Calibri"/>
                <w:color w:val="000000"/>
                <w:sz w:val="22"/>
                <w:lang w:eastAsia="en-GB"/>
              </w:rPr>
              <w:t>gynae</w:t>
            </w:r>
            <w:proofErr w:type="spellEnd"/>
            <w:r w:rsidRPr="00066DE9">
              <w:rPr>
                <w:rFonts w:ascii="Calibri" w:eastAsia="Times New Roman" w:hAnsi="Calibri" w:cs="Calibri"/>
                <w:color w:val="000000"/>
                <w:sz w:val="22"/>
                <w:lang w:eastAsia="en-GB"/>
              </w:rPr>
              <w:t xml:space="preserve"> exam lamp can be ceiling</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No PC no printer</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2320"/>
        </w:trPr>
        <w:tc>
          <w:tcPr>
            <w:tcW w:w="0" w:type="auto"/>
            <w:tcBorders>
              <w:top w:val="nil"/>
              <w:left w:val="single" w:sz="4" w:space="0" w:color="auto"/>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lastRenderedPageBreak/>
              <w:t>ENT/ Eye room  46</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proofErr w:type="spellStart"/>
            <w:r w:rsidRPr="00066DE9">
              <w:rPr>
                <w:rFonts w:ascii="Calibri" w:eastAsia="Times New Roman" w:hAnsi="Calibri" w:cs="Calibri"/>
                <w:color w:val="000000"/>
                <w:sz w:val="22"/>
                <w:lang w:eastAsia="en-GB"/>
              </w:rPr>
              <w:t>Obs</w:t>
            </w:r>
            <w:proofErr w:type="spellEnd"/>
            <w:r w:rsidRPr="00066DE9">
              <w:rPr>
                <w:rFonts w:ascii="Calibri" w:eastAsia="Times New Roman" w:hAnsi="Calibri" w:cs="Calibri"/>
                <w:color w:val="000000"/>
                <w:sz w:val="22"/>
                <w:lang w:eastAsia="en-GB"/>
              </w:rPr>
              <w:t xml:space="preserve"> Monitors VS900Wall - central station</w:t>
            </w:r>
            <w:r w:rsidRPr="00066DE9">
              <w:rPr>
                <w:rFonts w:ascii="Calibri" w:eastAsia="Times New Roman" w:hAnsi="Calibri" w:cs="Calibri"/>
                <w:color w:val="000000"/>
                <w:sz w:val="22"/>
                <w:lang w:eastAsia="en-GB"/>
              </w:rPr>
              <w:br/>
              <w:t>Diagnostic on stand</w:t>
            </w:r>
            <w:r w:rsidRPr="00066DE9">
              <w:rPr>
                <w:rFonts w:ascii="Calibri" w:eastAsia="Times New Roman" w:hAnsi="Calibri" w:cs="Calibri"/>
                <w:color w:val="000000"/>
                <w:sz w:val="22"/>
                <w:lang w:eastAsia="en-GB"/>
              </w:rPr>
              <w:br/>
              <w:t>Patient Trolley</w:t>
            </w:r>
            <w:r w:rsidRPr="00066DE9">
              <w:rPr>
                <w:rFonts w:ascii="Calibri" w:eastAsia="Times New Roman" w:hAnsi="Calibri" w:cs="Calibri"/>
                <w:color w:val="000000"/>
                <w:sz w:val="22"/>
                <w:lang w:eastAsia="en-GB"/>
              </w:rPr>
              <w:br/>
              <w:t>1x thermometer</w:t>
            </w:r>
            <w:r w:rsidRPr="00066DE9">
              <w:rPr>
                <w:rFonts w:ascii="Calibri" w:eastAsia="Times New Roman" w:hAnsi="Calibri" w:cs="Calibri"/>
                <w:color w:val="000000"/>
                <w:sz w:val="22"/>
                <w:lang w:eastAsia="en-GB"/>
              </w:rPr>
              <w:br/>
              <w:t>1x slit lamp wheelchair compatible</w:t>
            </w:r>
            <w:r w:rsidRPr="00066DE9">
              <w:rPr>
                <w:rFonts w:ascii="Calibri" w:eastAsia="Times New Roman" w:hAnsi="Calibri" w:cs="Calibri"/>
                <w:color w:val="000000"/>
                <w:sz w:val="22"/>
                <w:lang w:eastAsia="en-GB"/>
              </w:rPr>
              <w:br/>
              <w:t xml:space="preserve">1x </w:t>
            </w:r>
            <w:proofErr w:type="spellStart"/>
            <w:r w:rsidRPr="00066DE9">
              <w:rPr>
                <w:rFonts w:ascii="Calibri" w:eastAsia="Times New Roman" w:hAnsi="Calibri" w:cs="Calibri"/>
                <w:color w:val="000000"/>
                <w:sz w:val="22"/>
                <w:lang w:eastAsia="en-GB"/>
              </w:rPr>
              <w:t>Logmar</w:t>
            </w:r>
            <w:proofErr w:type="spellEnd"/>
            <w:r w:rsidRPr="00066DE9">
              <w:rPr>
                <w:rFonts w:ascii="Calibri" w:eastAsia="Times New Roman" w:hAnsi="Calibri" w:cs="Calibri"/>
                <w:color w:val="000000"/>
                <w:sz w:val="22"/>
                <w:lang w:eastAsia="en-GB"/>
              </w:rPr>
              <w:t xml:space="preserve"> Chart Wall</w:t>
            </w:r>
            <w:r w:rsidRPr="00066DE9">
              <w:rPr>
                <w:rFonts w:ascii="Calibri" w:eastAsia="Times New Roman" w:hAnsi="Calibri" w:cs="Calibri"/>
                <w:color w:val="000000"/>
                <w:sz w:val="22"/>
                <w:lang w:eastAsia="en-GB"/>
              </w:rPr>
              <w:br/>
              <w:t>1x tonometer</w:t>
            </w:r>
            <w:r w:rsidRPr="00066DE9">
              <w:rPr>
                <w:rFonts w:ascii="Calibri" w:eastAsia="Times New Roman" w:hAnsi="Calibri" w:cs="Calibri"/>
                <w:color w:val="000000"/>
                <w:sz w:val="22"/>
                <w:lang w:eastAsia="en-GB"/>
              </w:rPr>
              <w:br/>
              <w:t>1x ENT examination lamp</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No PC no printer</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ACC WC 47</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1x ceiling hoist? Ask M&amp;H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DU 48 Sluice Room</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FFFFFF"/>
                <w:sz w:val="22"/>
                <w:lang w:eastAsia="en-GB"/>
              </w:rPr>
            </w:pPr>
            <w:r w:rsidRPr="00066DE9">
              <w:rPr>
                <w:rFonts w:ascii="Calibri" w:eastAsia="Times New Roman" w:hAnsi="Calibri" w:cs="Calibri"/>
                <w:color w:val="FFFFFF"/>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FF0000"/>
                <w:sz w:val="22"/>
                <w:lang w:eastAsia="en-GB"/>
              </w:rPr>
            </w:pPr>
            <w:r w:rsidRPr="00066DE9">
              <w:rPr>
                <w:rFonts w:ascii="Calibri" w:eastAsia="Times New Roman" w:hAnsi="Calibri" w:cs="Calibri"/>
                <w:color w:val="FF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r>
      <w:tr w:rsidR="00066DE9" w:rsidRPr="00066DE9" w:rsidTr="00066DE9">
        <w:trPr>
          <w:trHeight w:val="3480"/>
        </w:trPr>
        <w:tc>
          <w:tcPr>
            <w:tcW w:w="0" w:type="auto"/>
            <w:tcBorders>
              <w:top w:val="nil"/>
              <w:left w:val="single" w:sz="4" w:space="0" w:color="auto"/>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lastRenderedPageBreak/>
              <w:t xml:space="preserve">Step Up Room 49-51 (mirror </w:t>
            </w:r>
            <w:proofErr w:type="spellStart"/>
            <w:r w:rsidRPr="00066DE9">
              <w:rPr>
                <w:rFonts w:ascii="Calibri" w:eastAsia="Times New Roman" w:hAnsi="Calibri" w:cs="Calibri"/>
                <w:color w:val="000000"/>
                <w:sz w:val="22"/>
                <w:lang w:eastAsia="en-GB"/>
              </w:rPr>
              <w:t>Resus</w:t>
            </w:r>
            <w:proofErr w:type="spellEnd"/>
            <w:r w:rsidRPr="00066DE9">
              <w:rPr>
                <w:rFonts w:ascii="Calibri" w:eastAsia="Times New Roman" w:hAnsi="Calibri" w:cs="Calibri"/>
                <w:color w:val="000000"/>
                <w:sz w:val="22"/>
                <w:lang w:eastAsia="en-GB"/>
              </w:rPr>
              <w:t xml:space="preserve"> cubicles)</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1x Multi parameter monitor with </w:t>
            </w:r>
            <w:proofErr w:type="spellStart"/>
            <w:r w:rsidRPr="00066DE9">
              <w:rPr>
                <w:rFonts w:ascii="Calibri" w:eastAsia="Times New Roman" w:hAnsi="Calibri" w:cs="Calibri"/>
                <w:color w:val="000000"/>
                <w:sz w:val="22"/>
                <w:lang w:eastAsia="en-GB"/>
              </w:rPr>
              <w:t>obs</w:t>
            </w:r>
            <w:proofErr w:type="spellEnd"/>
            <w:r w:rsidRPr="00066DE9">
              <w:rPr>
                <w:rFonts w:ascii="Calibri" w:eastAsia="Times New Roman" w:hAnsi="Calibri" w:cs="Calibri"/>
                <w:color w:val="000000"/>
                <w:sz w:val="22"/>
                <w:lang w:eastAsia="en-GB"/>
              </w:rPr>
              <w:t>, 12x ECG, IBP, CO2, NIBP - all the specs. With Printer.</w:t>
            </w:r>
            <w:r w:rsidRPr="00066DE9">
              <w:rPr>
                <w:rFonts w:ascii="Calibri" w:eastAsia="Times New Roman" w:hAnsi="Calibri" w:cs="Calibri"/>
                <w:color w:val="000000"/>
                <w:sz w:val="22"/>
                <w:lang w:eastAsia="en-GB"/>
              </w:rPr>
              <w:br/>
              <w:t xml:space="preserve">1x Pendant  </w:t>
            </w:r>
            <w:r w:rsidRPr="00066DE9">
              <w:rPr>
                <w:rFonts w:ascii="Calibri" w:eastAsia="Times New Roman" w:hAnsi="Calibri" w:cs="Calibri"/>
                <w:color w:val="000000"/>
                <w:sz w:val="22"/>
                <w:lang w:eastAsia="en-GB"/>
              </w:rPr>
              <w:br/>
              <w:t>1x diagnostic set  mounted on pendant</w:t>
            </w:r>
            <w:r w:rsidRPr="00066DE9">
              <w:rPr>
                <w:rFonts w:ascii="Calibri" w:eastAsia="Times New Roman" w:hAnsi="Calibri" w:cs="Calibri"/>
                <w:color w:val="000000"/>
                <w:sz w:val="22"/>
                <w:lang w:eastAsia="en-GB"/>
              </w:rPr>
              <w:br/>
              <w:t xml:space="preserve">1x manual defibrillator with C02 </w:t>
            </w:r>
            <w:r w:rsidRPr="00066DE9">
              <w:rPr>
                <w:rFonts w:ascii="Calibri" w:eastAsia="Times New Roman" w:hAnsi="Calibri" w:cs="Calibri"/>
                <w:color w:val="000000"/>
                <w:sz w:val="22"/>
                <w:lang w:eastAsia="en-GB"/>
              </w:rPr>
              <w:br/>
              <w:t>1x thermometer</w:t>
            </w:r>
            <w:r w:rsidRPr="00066DE9">
              <w:rPr>
                <w:rFonts w:ascii="Calibri" w:eastAsia="Times New Roman" w:hAnsi="Calibri" w:cs="Calibri"/>
                <w:color w:val="000000"/>
                <w:sz w:val="22"/>
                <w:lang w:eastAsia="en-GB"/>
              </w:rPr>
              <w:br/>
              <w:t>1x nebuliser</w:t>
            </w:r>
            <w:r w:rsidRPr="00066DE9">
              <w:rPr>
                <w:rFonts w:ascii="Calibri" w:eastAsia="Times New Roman" w:hAnsi="Calibri" w:cs="Calibri"/>
                <w:color w:val="000000"/>
                <w:sz w:val="22"/>
                <w:lang w:eastAsia="en-GB"/>
              </w:rPr>
              <w:br/>
              <w:t xml:space="preserve">1x </w:t>
            </w:r>
            <w:proofErr w:type="spellStart"/>
            <w:r w:rsidRPr="00066DE9">
              <w:rPr>
                <w:rFonts w:ascii="Calibri" w:eastAsia="Times New Roman" w:hAnsi="Calibri" w:cs="Calibri"/>
                <w:color w:val="000000"/>
                <w:sz w:val="22"/>
                <w:lang w:eastAsia="en-GB"/>
              </w:rPr>
              <w:t>Xrable</w:t>
            </w:r>
            <w:proofErr w:type="spellEnd"/>
            <w:r w:rsidRPr="00066DE9">
              <w:rPr>
                <w:rFonts w:ascii="Calibri" w:eastAsia="Times New Roman" w:hAnsi="Calibri" w:cs="Calibri"/>
                <w:color w:val="000000"/>
                <w:sz w:val="22"/>
                <w:lang w:eastAsia="en-GB"/>
              </w:rPr>
              <w:t xml:space="preserve"> patient trolley</w:t>
            </w:r>
            <w:r w:rsidRPr="00066DE9">
              <w:rPr>
                <w:rFonts w:ascii="Calibri" w:eastAsia="Times New Roman" w:hAnsi="Calibri" w:cs="Calibri"/>
                <w:color w:val="000000"/>
                <w:sz w:val="22"/>
                <w:lang w:eastAsia="en-GB"/>
              </w:rPr>
              <w:br/>
              <w:t>1x patient warmer 2 for 2x cubicles 2 in RAS area)</w:t>
            </w:r>
            <w:r w:rsidRPr="00066DE9">
              <w:rPr>
                <w:rFonts w:ascii="Calibri" w:eastAsia="Times New Roman" w:hAnsi="Calibri" w:cs="Calibri"/>
                <w:color w:val="000000"/>
                <w:sz w:val="22"/>
                <w:lang w:eastAsia="en-GB"/>
              </w:rPr>
              <w:br/>
              <w:t xml:space="preserve">2x </w:t>
            </w:r>
            <w:proofErr w:type="spellStart"/>
            <w:r w:rsidRPr="00066DE9">
              <w:rPr>
                <w:rFonts w:ascii="Calibri" w:eastAsia="Times New Roman" w:hAnsi="Calibri" w:cs="Calibri"/>
                <w:color w:val="000000"/>
                <w:sz w:val="22"/>
                <w:lang w:eastAsia="en-GB"/>
              </w:rPr>
              <w:t>oxylogs</w:t>
            </w:r>
            <w:proofErr w:type="spellEnd"/>
            <w:r w:rsidRPr="00066DE9">
              <w:rPr>
                <w:rFonts w:ascii="Calibri" w:eastAsia="Times New Roman" w:hAnsi="Calibri" w:cs="Calibri"/>
                <w:color w:val="000000"/>
                <w:sz w:val="22"/>
                <w:lang w:eastAsia="en-GB"/>
              </w:rPr>
              <w:t xml:space="preserve"> </w:t>
            </w:r>
            <w:r w:rsidRPr="00066DE9">
              <w:rPr>
                <w:rFonts w:ascii="Calibri" w:eastAsia="Times New Roman" w:hAnsi="Calibri" w:cs="Calibri"/>
                <w:color w:val="000000"/>
                <w:sz w:val="22"/>
                <w:lang w:eastAsia="en-GB"/>
              </w:rPr>
              <w:br/>
              <w:t>2 volumetric pumps, one syringe</w:t>
            </w:r>
            <w:r w:rsidRPr="00066DE9">
              <w:rPr>
                <w:rFonts w:ascii="Calibri" w:eastAsia="Times New Roman" w:hAnsi="Calibri" w:cs="Calibri"/>
                <w:color w:val="000000"/>
                <w:sz w:val="22"/>
                <w:lang w:eastAsia="en-GB"/>
              </w:rPr>
              <w:br/>
              <w:t>1x fluid warmers in each</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14 sockets on the pendant +4 sockets on trunking</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2x on the pendant</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1x PC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r>
      <w:tr w:rsidR="00066DE9" w:rsidRPr="00066DE9" w:rsidTr="00066DE9">
        <w:trPr>
          <w:trHeight w:val="870"/>
        </w:trPr>
        <w:tc>
          <w:tcPr>
            <w:tcW w:w="0" w:type="auto"/>
            <w:tcBorders>
              <w:top w:val="nil"/>
              <w:left w:val="single" w:sz="4" w:space="0" w:color="auto"/>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lastRenderedPageBreak/>
              <w:t>Drug Store Prep 53 also staff base for the 3x Step up rooms</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1x central monitoring + 1x printer </w:t>
            </w:r>
            <w:proofErr w:type="spellStart"/>
            <w:r w:rsidRPr="00066DE9">
              <w:rPr>
                <w:rFonts w:ascii="Calibri" w:eastAsia="Times New Roman" w:hAnsi="Calibri" w:cs="Calibri"/>
                <w:color w:val="000000"/>
                <w:sz w:val="22"/>
                <w:lang w:eastAsia="en-GB"/>
              </w:rPr>
              <w:t>Mindray</w:t>
            </w:r>
            <w:proofErr w:type="spellEnd"/>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1x printer + 1x PC +1x phone</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Housekeeping Room 52</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9C0006"/>
                <w:sz w:val="22"/>
                <w:lang w:eastAsia="en-GB"/>
              </w:rPr>
            </w:pPr>
            <w:r w:rsidRPr="00066DE9">
              <w:rPr>
                <w:rFonts w:ascii="Calibri" w:eastAsia="Times New Roman" w:hAnsi="Calibri" w:cs="Calibri"/>
                <w:color w:val="9C0006"/>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9C0006"/>
                <w:sz w:val="22"/>
                <w:lang w:eastAsia="en-GB"/>
              </w:rPr>
            </w:pPr>
            <w:r w:rsidRPr="00066DE9">
              <w:rPr>
                <w:rFonts w:ascii="Calibri" w:eastAsia="Times New Roman" w:hAnsi="Calibri" w:cs="Calibri"/>
                <w:color w:val="9C0006"/>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9C0006"/>
                <w:sz w:val="22"/>
                <w:lang w:eastAsia="en-GB"/>
              </w:rPr>
            </w:pPr>
            <w:r w:rsidRPr="00066DE9">
              <w:rPr>
                <w:rFonts w:ascii="Calibri" w:eastAsia="Times New Roman" w:hAnsi="Calibri" w:cs="Calibri"/>
                <w:color w:val="9C0006"/>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9C0006"/>
                <w:sz w:val="22"/>
                <w:lang w:eastAsia="en-GB"/>
              </w:rPr>
            </w:pPr>
            <w:r w:rsidRPr="00066DE9">
              <w:rPr>
                <w:rFonts w:ascii="Calibri" w:eastAsia="Times New Roman" w:hAnsi="Calibri" w:cs="Calibri"/>
                <w:color w:val="9C0006"/>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FF0000"/>
                <w:sz w:val="22"/>
                <w:lang w:eastAsia="en-GB"/>
              </w:rPr>
            </w:pPr>
            <w:r w:rsidRPr="00066DE9">
              <w:rPr>
                <w:rFonts w:ascii="Calibri" w:eastAsia="Times New Roman" w:hAnsi="Calibri" w:cs="Calibri"/>
                <w:color w:val="FF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r>
      <w:tr w:rsidR="00066DE9" w:rsidRPr="00066DE9" w:rsidTr="00066DE9">
        <w:trPr>
          <w:trHeight w:val="580"/>
        </w:trPr>
        <w:tc>
          <w:tcPr>
            <w:tcW w:w="0" w:type="auto"/>
            <w:tcBorders>
              <w:top w:val="nil"/>
              <w:left w:val="single" w:sz="4" w:space="0" w:color="auto"/>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Store 54 equipment store</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IV poles fixed (infusion pumps) + Pumps docks</w:t>
            </w:r>
            <w:r w:rsidRPr="00066DE9">
              <w:rPr>
                <w:rFonts w:ascii="Calibri" w:eastAsia="Times New Roman" w:hAnsi="Calibri" w:cs="Calibri"/>
                <w:color w:val="000000"/>
                <w:sz w:val="22"/>
                <w:lang w:eastAsia="en-GB"/>
              </w:rPr>
              <w:br/>
              <w:t>1x Drug Fridge + 1x Smart Thermometer</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870"/>
        </w:trPr>
        <w:tc>
          <w:tcPr>
            <w:tcW w:w="0" w:type="auto"/>
            <w:tcBorders>
              <w:top w:val="nil"/>
              <w:left w:val="single" w:sz="4" w:space="0" w:color="auto"/>
              <w:bottom w:val="single" w:sz="4" w:space="0" w:color="auto"/>
              <w:right w:val="single" w:sz="4" w:space="0" w:color="auto"/>
            </w:tcBorders>
            <w:shd w:val="clear" w:color="000000" w:fill="BDD7EE"/>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CU  55 - Clean utility</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Used for safe assessment zone - mentally unwell patients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No med equip, no PCs.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2030"/>
        </w:trPr>
        <w:tc>
          <w:tcPr>
            <w:tcW w:w="0" w:type="auto"/>
            <w:tcBorders>
              <w:top w:val="nil"/>
              <w:left w:val="single" w:sz="4" w:space="0" w:color="auto"/>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Green Area - Diagnostics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FFFFFF"/>
                <w:sz w:val="22"/>
                <w:lang w:eastAsia="en-GB"/>
              </w:rPr>
            </w:pPr>
            <w:r w:rsidRPr="00066DE9">
              <w:rPr>
                <w:rFonts w:ascii="Calibri" w:eastAsia="Times New Roman" w:hAnsi="Calibri" w:cs="Calibri"/>
                <w:color w:val="FFFFFF"/>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 2 x wall mounted patient monitoring</w:t>
            </w:r>
            <w:r w:rsidRPr="00066DE9">
              <w:rPr>
                <w:rFonts w:ascii="Calibri" w:eastAsia="Times New Roman" w:hAnsi="Calibri" w:cs="Calibri"/>
                <w:color w:val="000000"/>
                <w:sz w:val="22"/>
                <w:lang w:eastAsia="en-GB"/>
              </w:rPr>
              <w:br/>
            </w:r>
            <w:proofErr w:type="spellStart"/>
            <w:r w:rsidRPr="00066DE9">
              <w:rPr>
                <w:rFonts w:ascii="Calibri" w:eastAsia="Times New Roman" w:hAnsi="Calibri" w:cs="Calibri"/>
                <w:color w:val="000000"/>
                <w:sz w:val="22"/>
                <w:lang w:eastAsia="en-GB"/>
              </w:rPr>
              <w:t>Resus</w:t>
            </w:r>
            <w:proofErr w:type="spellEnd"/>
            <w:r w:rsidRPr="00066DE9">
              <w:rPr>
                <w:rFonts w:ascii="Calibri" w:eastAsia="Times New Roman" w:hAnsi="Calibri" w:cs="Calibri"/>
                <w:color w:val="000000"/>
                <w:sz w:val="22"/>
                <w:lang w:eastAsia="en-GB"/>
              </w:rPr>
              <w:t xml:space="preserve"> trolley</w:t>
            </w:r>
            <w:r w:rsidRPr="00066DE9">
              <w:rPr>
                <w:rFonts w:ascii="Calibri" w:eastAsia="Times New Roman" w:hAnsi="Calibri" w:cs="Calibri"/>
                <w:color w:val="000000"/>
                <w:sz w:val="22"/>
                <w:lang w:eastAsia="en-GB"/>
              </w:rPr>
              <w:br/>
              <w:t>Contrast warmer</w:t>
            </w:r>
            <w:r w:rsidRPr="00066DE9">
              <w:rPr>
                <w:rFonts w:ascii="Calibri" w:eastAsia="Times New Roman" w:hAnsi="Calibri" w:cs="Calibri"/>
                <w:color w:val="000000"/>
                <w:sz w:val="22"/>
                <w:lang w:eastAsia="en-GB"/>
              </w:rPr>
              <w:br/>
              <w:t>Glucometer</w:t>
            </w:r>
            <w:r w:rsidRPr="00066DE9">
              <w:rPr>
                <w:rFonts w:ascii="Calibri" w:eastAsia="Times New Roman" w:hAnsi="Calibri" w:cs="Calibri"/>
                <w:color w:val="000000"/>
                <w:sz w:val="22"/>
                <w:lang w:eastAsia="en-GB"/>
              </w:rPr>
              <w:br/>
              <w:t>Weighing scales</w:t>
            </w:r>
            <w:r w:rsidRPr="00066DE9">
              <w:rPr>
                <w:rFonts w:ascii="Calibri" w:eastAsia="Times New Roman" w:hAnsi="Calibri" w:cs="Calibri"/>
                <w:color w:val="000000"/>
                <w:sz w:val="22"/>
                <w:lang w:eastAsia="en-GB"/>
              </w:rPr>
              <w:br/>
              <w:t>Waiting room chairs / CT Control room chairs x2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1 - </w:t>
            </w:r>
            <w:proofErr w:type="spellStart"/>
            <w:r w:rsidRPr="00066DE9">
              <w:rPr>
                <w:rFonts w:ascii="Calibri" w:eastAsia="Times New Roman" w:hAnsi="Calibri" w:cs="Calibri"/>
                <w:color w:val="000000"/>
                <w:sz w:val="22"/>
                <w:lang w:eastAsia="en-GB"/>
              </w:rPr>
              <w:t>Resus</w:t>
            </w:r>
            <w:proofErr w:type="spellEnd"/>
            <w:r w:rsidRPr="00066DE9">
              <w:rPr>
                <w:rFonts w:ascii="Calibri" w:eastAsia="Times New Roman" w:hAnsi="Calibri" w:cs="Calibri"/>
                <w:color w:val="000000"/>
                <w:sz w:val="22"/>
                <w:lang w:eastAsia="en-GB"/>
              </w:rPr>
              <w:t xml:space="preserve"> trolley            2 x patient monitoring</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2 x PC's (CT console), Phone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6 x power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6 X LAN</w:t>
            </w:r>
          </w:p>
        </w:tc>
      </w:tr>
      <w:tr w:rsidR="00066DE9" w:rsidRPr="00066DE9" w:rsidTr="00066DE9">
        <w:trPr>
          <w:trHeight w:val="2900"/>
        </w:trPr>
        <w:tc>
          <w:tcPr>
            <w:tcW w:w="0" w:type="auto"/>
            <w:tcBorders>
              <w:top w:val="nil"/>
              <w:left w:val="single" w:sz="4" w:space="0" w:color="auto"/>
              <w:bottom w:val="single" w:sz="4" w:space="0" w:color="auto"/>
              <w:right w:val="single" w:sz="4" w:space="0" w:color="auto"/>
            </w:tcBorders>
            <w:shd w:val="clear" w:color="000000" w:fill="FCE4D6"/>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lastRenderedPageBreak/>
              <w:t>6x Cubicles -  56-61</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Rapid Assessment Cubicles (RAIT) - patients come straight from ambulances</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spacing w:after="240"/>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1x </w:t>
            </w:r>
            <w:proofErr w:type="spellStart"/>
            <w:r w:rsidRPr="00066DE9">
              <w:rPr>
                <w:rFonts w:ascii="Calibri" w:eastAsia="Times New Roman" w:hAnsi="Calibri" w:cs="Calibri"/>
                <w:color w:val="000000"/>
                <w:sz w:val="22"/>
                <w:lang w:eastAsia="en-GB"/>
              </w:rPr>
              <w:t>Xrable</w:t>
            </w:r>
            <w:proofErr w:type="spellEnd"/>
            <w:r w:rsidRPr="00066DE9">
              <w:rPr>
                <w:rFonts w:ascii="Calibri" w:eastAsia="Times New Roman" w:hAnsi="Calibri" w:cs="Calibri"/>
                <w:color w:val="000000"/>
                <w:sz w:val="22"/>
                <w:lang w:eastAsia="en-GB"/>
              </w:rPr>
              <w:t xml:space="preserve"> trolleys</w:t>
            </w:r>
            <w:r w:rsidRPr="00066DE9">
              <w:rPr>
                <w:rFonts w:ascii="Calibri" w:eastAsia="Times New Roman" w:hAnsi="Calibri" w:cs="Calibri"/>
                <w:color w:val="000000"/>
                <w:sz w:val="22"/>
                <w:lang w:eastAsia="en-GB"/>
              </w:rPr>
              <w:br/>
              <w:t>1x patient monitors (full specs) wall mounted</w:t>
            </w:r>
            <w:r w:rsidRPr="00066DE9">
              <w:rPr>
                <w:rFonts w:ascii="Calibri" w:eastAsia="Times New Roman" w:hAnsi="Calibri" w:cs="Calibri"/>
                <w:color w:val="000000"/>
                <w:sz w:val="22"/>
                <w:lang w:eastAsia="en-GB"/>
              </w:rPr>
              <w:br/>
              <w:t>1x ceiling mounted patient exam lamps</w:t>
            </w:r>
            <w:r w:rsidRPr="00066DE9">
              <w:rPr>
                <w:rFonts w:ascii="Calibri" w:eastAsia="Times New Roman" w:hAnsi="Calibri" w:cs="Calibri"/>
                <w:color w:val="000000"/>
                <w:sz w:val="22"/>
                <w:lang w:eastAsia="en-GB"/>
              </w:rPr>
              <w:br/>
              <w:t xml:space="preserve">wall mounted </w:t>
            </w:r>
            <w:proofErr w:type="spellStart"/>
            <w:r w:rsidRPr="00066DE9">
              <w:rPr>
                <w:rFonts w:ascii="Calibri" w:eastAsia="Times New Roman" w:hAnsi="Calibri" w:cs="Calibri"/>
                <w:color w:val="000000"/>
                <w:sz w:val="22"/>
                <w:lang w:eastAsia="en-GB"/>
              </w:rPr>
              <w:t>diag</w:t>
            </w:r>
            <w:proofErr w:type="spellEnd"/>
            <w:r w:rsidRPr="00066DE9">
              <w:rPr>
                <w:rFonts w:ascii="Calibri" w:eastAsia="Times New Roman" w:hAnsi="Calibri" w:cs="Calibri"/>
                <w:color w:val="000000"/>
                <w:sz w:val="22"/>
                <w:lang w:eastAsia="en-GB"/>
              </w:rPr>
              <w:t xml:space="preserve"> sets</w:t>
            </w:r>
            <w:r w:rsidRPr="00066DE9">
              <w:rPr>
                <w:rFonts w:ascii="Calibri" w:eastAsia="Times New Roman" w:hAnsi="Calibri" w:cs="Calibri"/>
                <w:color w:val="000000"/>
                <w:sz w:val="22"/>
                <w:lang w:eastAsia="en-GB"/>
              </w:rPr>
              <w:br/>
              <w:t>2x stand on scale for all 6 rooms</w:t>
            </w:r>
            <w:r w:rsidRPr="00066DE9">
              <w:rPr>
                <w:rFonts w:ascii="Calibri" w:eastAsia="Times New Roman" w:hAnsi="Calibri" w:cs="Calibri"/>
                <w:color w:val="000000"/>
                <w:sz w:val="22"/>
                <w:lang w:eastAsia="en-GB"/>
              </w:rPr>
              <w:br/>
              <w:t xml:space="preserve">1x </w:t>
            </w:r>
            <w:proofErr w:type="spellStart"/>
            <w:r w:rsidRPr="00066DE9">
              <w:rPr>
                <w:rFonts w:ascii="Calibri" w:eastAsia="Times New Roman" w:hAnsi="Calibri" w:cs="Calibri"/>
                <w:color w:val="000000"/>
                <w:sz w:val="22"/>
                <w:lang w:eastAsia="en-GB"/>
              </w:rPr>
              <w:t>resus</w:t>
            </w:r>
            <w:proofErr w:type="spellEnd"/>
            <w:r w:rsidRPr="00066DE9">
              <w:rPr>
                <w:rFonts w:ascii="Calibri" w:eastAsia="Times New Roman" w:hAnsi="Calibri" w:cs="Calibri"/>
                <w:color w:val="000000"/>
                <w:sz w:val="22"/>
                <w:lang w:eastAsia="en-GB"/>
              </w:rPr>
              <w:t xml:space="preserve"> trolley for 6x cubicles</w:t>
            </w:r>
            <w:r w:rsidRPr="00066DE9">
              <w:rPr>
                <w:rFonts w:ascii="Calibri" w:eastAsia="Times New Roman" w:hAnsi="Calibri" w:cs="Calibri"/>
                <w:color w:val="000000"/>
                <w:sz w:val="22"/>
                <w:lang w:eastAsia="en-GB"/>
              </w:rPr>
              <w:br/>
              <w:t>2x nebulisers for all 6x rooms</w:t>
            </w:r>
            <w:r w:rsidRPr="00066DE9">
              <w:rPr>
                <w:rFonts w:ascii="Calibri" w:eastAsia="Times New Roman" w:hAnsi="Calibri" w:cs="Calibri"/>
                <w:color w:val="000000"/>
                <w:sz w:val="22"/>
                <w:lang w:eastAsia="en-GB"/>
              </w:rPr>
              <w:br/>
              <w:t>1x hoist for the area</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1x PC each room no printers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r>
      <w:tr w:rsidR="00066DE9" w:rsidRPr="00066DE9" w:rsidTr="00066DE9">
        <w:trPr>
          <w:trHeight w:val="2900"/>
        </w:trPr>
        <w:tc>
          <w:tcPr>
            <w:tcW w:w="0" w:type="auto"/>
            <w:tcBorders>
              <w:top w:val="nil"/>
              <w:left w:val="single" w:sz="4" w:space="0" w:color="auto"/>
              <w:bottom w:val="single" w:sz="4" w:space="0" w:color="auto"/>
              <w:right w:val="single" w:sz="4" w:space="0" w:color="auto"/>
            </w:tcBorders>
            <w:shd w:val="clear" w:color="000000" w:fill="FCE4D6"/>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lastRenderedPageBreak/>
              <w:t>Staff Base 62</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1x Central monitor</w:t>
            </w:r>
            <w:r w:rsidRPr="00066DE9">
              <w:rPr>
                <w:rFonts w:ascii="Calibri" w:eastAsia="Times New Roman" w:hAnsi="Calibri" w:cs="Calibri"/>
                <w:color w:val="000000"/>
                <w:sz w:val="22"/>
                <w:lang w:eastAsia="en-GB"/>
              </w:rPr>
              <w:br/>
              <w:t>1x Blood Gas machine</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1x printer + 4x PCS (2x Dr, 1x HCW + 1x Nurse) + 1x phone line + 1x charging station for BM and ketone machines + changing plates for IPad</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16</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6</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FCE4D6"/>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Shared Linen 63</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FCE4D6"/>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ACC WC 64</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FCE4D6"/>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CU and DU (65 + 66)</w:t>
            </w:r>
          </w:p>
        </w:tc>
        <w:tc>
          <w:tcPr>
            <w:tcW w:w="0" w:type="auto"/>
            <w:tcBorders>
              <w:top w:val="single" w:sz="4" w:space="0" w:color="B2B2B2"/>
              <w:left w:val="single" w:sz="4" w:space="0" w:color="B2B2B2"/>
              <w:bottom w:val="single" w:sz="4" w:space="0" w:color="B2B2B2"/>
              <w:right w:val="single" w:sz="4" w:space="0" w:color="B2B2B2"/>
            </w:tcBorders>
            <w:shd w:val="clear" w:color="auto" w:fill="auto"/>
            <w:vAlign w:val="center"/>
            <w:hideMark/>
          </w:tcPr>
          <w:p w:rsidR="00066DE9" w:rsidRPr="00066DE9" w:rsidRDefault="00066DE9" w:rsidP="00066DE9">
            <w:pPr>
              <w:rPr>
                <w:rFonts w:ascii="Calibri" w:eastAsia="Times New Roman" w:hAnsi="Calibri" w:cs="Calibri"/>
                <w:color w:val="FFFFFF"/>
                <w:sz w:val="22"/>
                <w:lang w:eastAsia="en-GB"/>
              </w:rPr>
            </w:pPr>
            <w:r w:rsidRPr="00066DE9">
              <w:rPr>
                <w:rFonts w:ascii="Calibri" w:eastAsia="Times New Roman" w:hAnsi="Calibri" w:cs="Calibri"/>
                <w:color w:val="FFFFFF"/>
                <w:sz w:val="22"/>
                <w:lang w:eastAsia="en-GB"/>
              </w:rPr>
              <w:t> </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r>
      <w:tr w:rsidR="00066DE9" w:rsidRPr="00066DE9" w:rsidTr="00066DE9">
        <w:trPr>
          <w:trHeight w:val="580"/>
        </w:trPr>
        <w:tc>
          <w:tcPr>
            <w:tcW w:w="0" w:type="auto"/>
            <w:tcBorders>
              <w:top w:val="nil"/>
              <w:left w:val="single" w:sz="4" w:space="0" w:color="auto"/>
              <w:bottom w:val="single" w:sz="4" w:space="0" w:color="auto"/>
              <w:right w:val="single" w:sz="4" w:space="0" w:color="auto"/>
            </w:tcBorders>
            <w:shd w:val="clear" w:color="000000" w:fill="C6EFCE"/>
            <w:vAlign w:val="center"/>
            <w:hideMark/>
          </w:tcPr>
          <w:p w:rsidR="00066DE9" w:rsidRPr="00066DE9" w:rsidRDefault="00066DE9" w:rsidP="00066DE9">
            <w:pPr>
              <w:rPr>
                <w:rFonts w:ascii="Calibri" w:eastAsia="Times New Roman" w:hAnsi="Calibri" w:cs="Calibri"/>
                <w:color w:val="006100"/>
                <w:sz w:val="22"/>
                <w:lang w:eastAsia="en-GB"/>
              </w:rPr>
            </w:pPr>
            <w:r w:rsidRPr="00066DE9">
              <w:rPr>
                <w:rFonts w:ascii="Calibri" w:eastAsia="Times New Roman" w:hAnsi="Calibri" w:cs="Calibri"/>
                <w:color w:val="006100"/>
                <w:sz w:val="22"/>
                <w:lang w:eastAsia="en-GB"/>
              </w:rPr>
              <w:t>Light Green Command Zones</w:t>
            </w:r>
          </w:p>
        </w:tc>
        <w:tc>
          <w:tcPr>
            <w:tcW w:w="0" w:type="auto"/>
            <w:tcBorders>
              <w:top w:val="single" w:sz="4" w:space="0" w:color="auto"/>
              <w:left w:val="nil"/>
              <w:bottom w:val="single" w:sz="4" w:space="0" w:color="auto"/>
              <w:right w:val="single" w:sz="4" w:space="0" w:color="auto"/>
            </w:tcBorders>
            <w:shd w:val="clear" w:color="000000" w:fill="C6EFCE"/>
            <w:vAlign w:val="center"/>
            <w:hideMark/>
          </w:tcPr>
          <w:p w:rsidR="00066DE9" w:rsidRPr="00066DE9" w:rsidRDefault="00066DE9" w:rsidP="00066DE9">
            <w:pPr>
              <w:rPr>
                <w:rFonts w:ascii="Calibri" w:eastAsia="Times New Roman" w:hAnsi="Calibri" w:cs="Calibri"/>
                <w:color w:val="006100"/>
                <w:sz w:val="22"/>
                <w:lang w:eastAsia="en-GB"/>
              </w:rPr>
            </w:pPr>
            <w:r w:rsidRPr="00066DE9">
              <w:rPr>
                <w:rFonts w:ascii="Calibri" w:eastAsia="Times New Roman" w:hAnsi="Calibri" w:cs="Calibri"/>
                <w:color w:val="006100"/>
                <w:sz w:val="22"/>
                <w:lang w:eastAsia="en-GB"/>
              </w:rPr>
              <w:t> </w:t>
            </w:r>
          </w:p>
        </w:tc>
        <w:tc>
          <w:tcPr>
            <w:tcW w:w="0" w:type="auto"/>
            <w:tcBorders>
              <w:top w:val="nil"/>
              <w:left w:val="nil"/>
              <w:bottom w:val="single" w:sz="4" w:space="0" w:color="auto"/>
              <w:right w:val="single" w:sz="4" w:space="0" w:color="auto"/>
            </w:tcBorders>
            <w:shd w:val="clear" w:color="000000" w:fill="C6EFCE"/>
            <w:vAlign w:val="center"/>
            <w:hideMark/>
          </w:tcPr>
          <w:p w:rsidR="00066DE9" w:rsidRPr="00066DE9" w:rsidRDefault="00066DE9" w:rsidP="00066DE9">
            <w:pPr>
              <w:rPr>
                <w:rFonts w:ascii="Calibri" w:eastAsia="Times New Roman" w:hAnsi="Calibri" w:cs="Calibri"/>
                <w:color w:val="006100"/>
                <w:sz w:val="22"/>
                <w:lang w:eastAsia="en-GB"/>
              </w:rPr>
            </w:pPr>
            <w:r w:rsidRPr="00066DE9">
              <w:rPr>
                <w:rFonts w:ascii="Calibri" w:eastAsia="Times New Roman" w:hAnsi="Calibri" w:cs="Calibri"/>
                <w:color w:val="006100"/>
                <w:sz w:val="22"/>
                <w:lang w:eastAsia="en-GB"/>
              </w:rPr>
              <w:t> </w:t>
            </w:r>
          </w:p>
        </w:tc>
        <w:tc>
          <w:tcPr>
            <w:tcW w:w="0" w:type="auto"/>
            <w:tcBorders>
              <w:top w:val="nil"/>
              <w:left w:val="nil"/>
              <w:bottom w:val="single" w:sz="4" w:space="0" w:color="auto"/>
              <w:right w:val="single" w:sz="4" w:space="0" w:color="auto"/>
            </w:tcBorders>
            <w:shd w:val="clear" w:color="000000" w:fill="C6EFCE"/>
            <w:vAlign w:val="center"/>
            <w:hideMark/>
          </w:tcPr>
          <w:p w:rsidR="00066DE9" w:rsidRPr="00066DE9" w:rsidRDefault="00066DE9" w:rsidP="00066DE9">
            <w:pPr>
              <w:rPr>
                <w:rFonts w:ascii="Calibri" w:eastAsia="Times New Roman" w:hAnsi="Calibri" w:cs="Calibri"/>
                <w:color w:val="006100"/>
                <w:sz w:val="22"/>
                <w:lang w:eastAsia="en-GB"/>
              </w:rPr>
            </w:pPr>
            <w:r w:rsidRPr="00066DE9">
              <w:rPr>
                <w:rFonts w:ascii="Calibri" w:eastAsia="Times New Roman" w:hAnsi="Calibri" w:cs="Calibri"/>
                <w:color w:val="006100"/>
                <w:sz w:val="22"/>
                <w:lang w:eastAsia="en-GB"/>
              </w:rPr>
              <w:t> </w:t>
            </w:r>
          </w:p>
        </w:tc>
        <w:tc>
          <w:tcPr>
            <w:tcW w:w="0" w:type="auto"/>
            <w:tcBorders>
              <w:top w:val="nil"/>
              <w:left w:val="nil"/>
              <w:bottom w:val="single" w:sz="4" w:space="0" w:color="auto"/>
              <w:right w:val="single" w:sz="4" w:space="0" w:color="auto"/>
            </w:tcBorders>
            <w:shd w:val="clear" w:color="000000" w:fill="C6EFCE"/>
            <w:vAlign w:val="center"/>
            <w:hideMark/>
          </w:tcPr>
          <w:p w:rsidR="00066DE9" w:rsidRPr="00066DE9" w:rsidRDefault="00066DE9" w:rsidP="00066DE9">
            <w:pPr>
              <w:rPr>
                <w:rFonts w:ascii="Calibri" w:eastAsia="Times New Roman" w:hAnsi="Calibri" w:cs="Calibri"/>
                <w:color w:val="006100"/>
                <w:sz w:val="22"/>
                <w:lang w:eastAsia="en-GB"/>
              </w:rPr>
            </w:pPr>
            <w:r w:rsidRPr="00066DE9">
              <w:rPr>
                <w:rFonts w:ascii="Calibri" w:eastAsia="Times New Roman" w:hAnsi="Calibri" w:cs="Calibri"/>
                <w:color w:val="006100"/>
                <w:sz w:val="22"/>
                <w:lang w:eastAsia="en-GB"/>
              </w:rPr>
              <w:t> </w:t>
            </w:r>
          </w:p>
        </w:tc>
        <w:tc>
          <w:tcPr>
            <w:tcW w:w="0" w:type="auto"/>
            <w:tcBorders>
              <w:top w:val="nil"/>
              <w:left w:val="nil"/>
              <w:bottom w:val="single" w:sz="4" w:space="0" w:color="auto"/>
              <w:right w:val="single" w:sz="4" w:space="0" w:color="auto"/>
            </w:tcBorders>
            <w:shd w:val="clear" w:color="000000" w:fill="C6EFCE"/>
            <w:vAlign w:val="center"/>
            <w:hideMark/>
          </w:tcPr>
          <w:p w:rsidR="00066DE9" w:rsidRPr="00066DE9" w:rsidRDefault="00066DE9" w:rsidP="00066DE9">
            <w:pPr>
              <w:rPr>
                <w:rFonts w:ascii="Calibri" w:eastAsia="Times New Roman" w:hAnsi="Calibri" w:cs="Calibri"/>
                <w:color w:val="006100"/>
                <w:sz w:val="22"/>
                <w:lang w:eastAsia="en-GB"/>
              </w:rPr>
            </w:pPr>
            <w:r w:rsidRPr="00066DE9">
              <w:rPr>
                <w:rFonts w:ascii="Calibri" w:eastAsia="Times New Roman" w:hAnsi="Calibri" w:cs="Calibri"/>
                <w:color w:val="006100"/>
                <w:sz w:val="22"/>
                <w:lang w:eastAsia="en-GB"/>
              </w:rPr>
              <w:t> </w:t>
            </w:r>
          </w:p>
        </w:tc>
        <w:tc>
          <w:tcPr>
            <w:tcW w:w="0" w:type="auto"/>
            <w:tcBorders>
              <w:top w:val="nil"/>
              <w:left w:val="nil"/>
              <w:bottom w:val="single" w:sz="4" w:space="0" w:color="auto"/>
              <w:right w:val="single" w:sz="4" w:space="0" w:color="auto"/>
            </w:tcBorders>
            <w:shd w:val="clear" w:color="000000" w:fill="C6EFCE"/>
            <w:vAlign w:val="center"/>
            <w:hideMark/>
          </w:tcPr>
          <w:p w:rsidR="00066DE9" w:rsidRPr="00066DE9" w:rsidRDefault="00066DE9" w:rsidP="00066DE9">
            <w:pPr>
              <w:rPr>
                <w:rFonts w:ascii="Calibri" w:eastAsia="Times New Roman" w:hAnsi="Calibri" w:cs="Calibri"/>
                <w:color w:val="006100"/>
                <w:sz w:val="22"/>
                <w:lang w:eastAsia="en-GB"/>
              </w:rPr>
            </w:pPr>
            <w:r w:rsidRPr="00066DE9">
              <w:rPr>
                <w:rFonts w:ascii="Calibri" w:eastAsia="Times New Roman" w:hAnsi="Calibri" w:cs="Calibri"/>
                <w:color w:val="006100"/>
                <w:sz w:val="22"/>
                <w:lang w:eastAsia="en-GB"/>
              </w:rPr>
              <w:t> </w:t>
            </w:r>
          </w:p>
        </w:tc>
        <w:tc>
          <w:tcPr>
            <w:tcW w:w="0" w:type="auto"/>
            <w:tcBorders>
              <w:top w:val="nil"/>
              <w:left w:val="nil"/>
              <w:bottom w:val="single" w:sz="4" w:space="0" w:color="auto"/>
              <w:right w:val="single" w:sz="4" w:space="0" w:color="auto"/>
            </w:tcBorders>
            <w:shd w:val="clear" w:color="000000" w:fill="C6EFCE"/>
            <w:vAlign w:val="center"/>
            <w:hideMark/>
          </w:tcPr>
          <w:p w:rsidR="00066DE9" w:rsidRPr="00066DE9" w:rsidRDefault="00066DE9" w:rsidP="00066DE9">
            <w:pPr>
              <w:rPr>
                <w:rFonts w:ascii="Calibri" w:eastAsia="Times New Roman" w:hAnsi="Calibri" w:cs="Calibri"/>
                <w:color w:val="006100"/>
                <w:sz w:val="22"/>
                <w:lang w:eastAsia="en-GB"/>
              </w:rPr>
            </w:pPr>
            <w:r w:rsidRPr="00066DE9">
              <w:rPr>
                <w:rFonts w:ascii="Calibri" w:eastAsia="Times New Roman" w:hAnsi="Calibri" w:cs="Calibri"/>
                <w:color w:val="006100"/>
                <w:sz w:val="22"/>
                <w:lang w:eastAsia="en-GB"/>
              </w:rPr>
              <w:t> </w:t>
            </w:r>
          </w:p>
        </w:tc>
        <w:tc>
          <w:tcPr>
            <w:tcW w:w="0" w:type="auto"/>
            <w:tcBorders>
              <w:top w:val="nil"/>
              <w:left w:val="nil"/>
              <w:bottom w:val="single" w:sz="4" w:space="0" w:color="auto"/>
              <w:right w:val="single" w:sz="4" w:space="0" w:color="auto"/>
            </w:tcBorders>
            <w:shd w:val="clear" w:color="000000" w:fill="C6EFCE"/>
            <w:vAlign w:val="center"/>
            <w:hideMark/>
          </w:tcPr>
          <w:p w:rsidR="00066DE9" w:rsidRPr="00066DE9" w:rsidRDefault="00066DE9" w:rsidP="00066DE9">
            <w:pPr>
              <w:rPr>
                <w:rFonts w:ascii="Calibri" w:eastAsia="Times New Roman" w:hAnsi="Calibri" w:cs="Calibri"/>
                <w:color w:val="006100"/>
                <w:sz w:val="22"/>
                <w:lang w:eastAsia="en-GB"/>
              </w:rPr>
            </w:pPr>
            <w:r w:rsidRPr="00066DE9">
              <w:rPr>
                <w:rFonts w:ascii="Calibri" w:eastAsia="Times New Roman" w:hAnsi="Calibri" w:cs="Calibri"/>
                <w:color w:val="006100"/>
                <w:sz w:val="22"/>
                <w:lang w:eastAsia="en-GB"/>
              </w:rPr>
              <w:t> </w:t>
            </w:r>
          </w:p>
        </w:tc>
        <w:tc>
          <w:tcPr>
            <w:tcW w:w="0" w:type="auto"/>
            <w:tcBorders>
              <w:top w:val="nil"/>
              <w:left w:val="nil"/>
              <w:bottom w:val="single" w:sz="4" w:space="0" w:color="auto"/>
              <w:right w:val="single" w:sz="4" w:space="0" w:color="auto"/>
            </w:tcBorders>
            <w:shd w:val="clear" w:color="000000" w:fill="C6EFCE"/>
            <w:vAlign w:val="center"/>
            <w:hideMark/>
          </w:tcPr>
          <w:p w:rsidR="00066DE9" w:rsidRPr="00066DE9" w:rsidRDefault="00066DE9" w:rsidP="00066DE9">
            <w:pPr>
              <w:rPr>
                <w:rFonts w:ascii="Calibri" w:eastAsia="Times New Roman" w:hAnsi="Calibri" w:cs="Calibri"/>
                <w:color w:val="006100"/>
                <w:sz w:val="22"/>
                <w:lang w:eastAsia="en-GB"/>
              </w:rPr>
            </w:pPr>
            <w:r w:rsidRPr="00066DE9">
              <w:rPr>
                <w:rFonts w:ascii="Calibri" w:eastAsia="Times New Roman" w:hAnsi="Calibri" w:cs="Calibri"/>
                <w:color w:val="006100"/>
                <w:sz w:val="22"/>
                <w:lang w:eastAsia="en-GB"/>
              </w:rPr>
              <w:t> </w:t>
            </w:r>
          </w:p>
        </w:tc>
        <w:tc>
          <w:tcPr>
            <w:tcW w:w="0" w:type="auto"/>
            <w:tcBorders>
              <w:top w:val="nil"/>
              <w:left w:val="nil"/>
              <w:bottom w:val="single" w:sz="4" w:space="0" w:color="auto"/>
              <w:right w:val="single" w:sz="4" w:space="0" w:color="auto"/>
            </w:tcBorders>
            <w:shd w:val="clear" w:color="000000" w:fill="C6EFCE"/>
            <w:vAlign w:val="center"/>
            <w:hideMark/>
          </w:tcPr>
          <w:p w:rsidR="00066DE9" w:rsidRPr="00066DE9" w:rsidRDefault="00066DE9" w:rsidP="00066DE9">
            <w:pPr>
              <w:rPr>
                <w:rFonts w:ascii="Calibri" w:eastAsia="Times New Roman" w:hAnsi="Calibri" w:cs="Calibri"/>
                <w:color w:val="006100"/>
                <w:sz w:val="22"/>
                <w:lang w:eastAsia="en-GB"/>
              </w:rPr>
            </w:pPr>
            <w:r w:rsidRPr="00066DE9">
              <w:rPr>
                <w:rFonts w:ascii="Calibri" w:eastAsia="Times New Roman" w:hAnsi="Calibri" w:cs="Calibri"/>
                <w:color w:val="006100"/>
                <w:sz w:val="22"/>
                <w:lang w:eastAsia="en-GB"/>
              </w:rPr>
              <w:t> </w:t>
            </w:r>
          </w:p>
        </w:tc>
      </w:tr>
      <w:tr w:rsidR="00066DE9" w:rsidRPr="00066DE9" w:rsidTr="00066DE9">
        <w:trPr>
          <w:trHeight w:val="6630"/>
        </w:trPr>
        <w:tc>
          <w:tcPr>
            <w:tcW w:w="0" w:type="auto"/>
            <w:tcBorders>
              <w:top w:val="nil"/>
              <w:left w:val="single" w:sz="4" w:space="0" w:color="auto"/>
              <w:bottom w:val="single" w:sz="4" w:space="0" w:color="auto"/>
              <w:right w:val="single" w:sz="4" w:space="0" w:color="auto"/>
            </w:tcBorders>
            <w:shd w:val="clear" w:color="000000" w:fill="C6EFCE"/>
            <w:vAlign w:val="center"/>
            <w:hideMark/>
          </w:tcPr>
          <w:p w:rsidR="00066DE9" w:rsidRPr="00066DE9" w:rsidRDefault="00066DE9" w:rsidP="00066DE9">
            <w:pPr>
              <w:rPr>
                <w:rFonts w:ascii="Calibri" w:eastAsia="Times New Roman" w:hAnsi="Calibri" w:cs="Calibri"/>
                <w:color w:val="006100"/>
                <w:sz w:val="22"/>
                <w:lang w:eastAsia="en-GB"/>
              </w:rPr>
            </w:pPr>
            <w:proofErr w:type="spellStart"/>
            <w:r w:rsidRPr="00066DE9">
              <w:rPr>
                <w:rFonts w:ascii="Calibri" w:eastAsia="Times New Roman" w:hAnsi="Calibri" w:cs="Calibri"/>
                <w:color w:val="006100"/>
                <w:sz w:val="22"/>
                <w:lang w:eastAsia="en-GB"/>
              </w:rPr>
              <w:lastRenderedPageBreak/>
              <w:t>Resus</w:t>
            </w:r>
            <w:proofErr w:type="spellEnd"/>
            <w:r w:rsidRPr="00066DE9">
              <w:rPr>
                <w:rFonts w:ascii="Calibri" w:eastAsia="Times New Roman" w:hAnsi="Calibri" w:cs="Calibri"/>
                <w:color w:val="006100"/>
                <w:sz w:val="22"/>
                <w:lang w:eastAsia="en-GB"/>
              </w:rPr>
              <w:t xml:space="preserve"> Cubicles (67,68,69,70,71,72,75,78)</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78 is the </w:t>
            </w:r>
            <w:proofErr w:type="spellStart"/>
            <w:r w:rsidRPr="00066DE9">
              <w:rPr>
                <w:rFonts w:ascii="Calibri" w:eastAsia="Times New Roman" w:hAnsi="Calibri" w:cs="Calibri"/>
                <w:color w:val="000000"/>
                <w:sz w:val="22"/>
                <w:lang w:eastAsia="en-GB"/>
              </w:rPr>
              <w:t>Paeds</w:t>
            </w:r>
            <w:proofErr w:type="spellEnd"/>
            <w:r w:rsidRPr="00066DE9">
              <w:rPr>
                <w:rFonts w:ascii="Calibri" w:eastAsia="Times New Roman" w:hAnsi="Calibri" w:cs="Calibri"/>
                <w:color w:val="000000"/>
                <w:sz w:val="22"/>
                <w:lang w:eastAsia="en-GB"/>
              </w:rPr>
              <w:t xml:space="preserve"> dedicated </w:t>
            </w:r>
            <w:proofErr w:type="spellStart"/>
            <w:r w:rsidRPr="00066DE9">
              <w:rPr>
                <w:rFonts w:ascii="Calibri" w:eastAsia="Times New Roman" w:hAnsi="Calibri" w:cs="Calibri"/>
                <w:color w:val="000000"/>
                <w:sz w:val="22"/>
                <w:lang w:eastAsia="en-GB"/>
              </w:rPr>
              <w:t>Resus</w:t>
            </w:r>
            <w:proofErr w:type="spellEnd"/>
            <w:r w:rsidRPr="00066DE9">
              <w:rPr>
                <w:rFonts w:ascii="Calibri" w:eastAsia="Times New Roman" w:hAnsi="Calibri" w:cs="Calibri"/>
                <w:color w:val="000000"/>
                <w:sz w:val="22"/>
                <w:lang w:eastAsia="en-GB"/>
              </w:rPr>
              <w:br/>
              <w:t xml:space="preserve">73 dedicated bariatric </w:t>
            </w:r>
            <w:proofErr w:type="spellStart"/>
            <w:r w:rsidRPr="00066DE9">
              <w:rPr>
                <w:rFonts w:ascii="Calibri" w:eastAsia="Times New Roman" w:hAnsi="Calibri" w:cs="Calibri"/>
                <w:color w:val="000000"/>
                <w:sz w:val="22"/>
                <w:lang w:eastAsia="en-GB"/>
              </w:rPr>
              <w:t>Resus</w:t>
            </w:r>
            <w:proofErr w:type="spellEnd"/>
            <w:r w:rsidRPr="00066DE9">
              <w:rPr>
                <w:rFonts w:ascii="Calibri" w:eastAsia="Times New Roman" w:hAnsi="Calibri" w:cs="Calibri"/>
                <w:color w:val="000000"/>
                <w:sz w:val="22"/>
                <w:lang w:eastAsia="en-GB"/>
              </w:rPr>
              <w:t xml:space="preserve">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71 is to become DU 74 </w:t>
            </w:r>
            <w:proofErr w:type="spellStart"/>
            <w:r w:rsidRPr="00066DE9">
              <w:rPr>
                <w:rFonts w:ascii="Calibri" w:eastAsia="Times New Roman" w:hAnsi="Calibri" w:cs="Calibri"/>
                <w:color w:val="000000"/>
                <w:sz w:val="22"/>
                <w:lang w:eastAsia="en-GB"/>
              </w:rPr>
              <w:t>Resus</w:t>
            </w:r>
            <w:proofErr w:type="spellEnd"/>
            <w:r w:rsidRPr="00066DE9">
              <w:rPr>
                <w:rFonts w:ascii="Calibri" w:eastAsia="Times New Roman" w:hAnsi="Calibri" w:cs="Calibri"/>
                <w:color w:val="000000"/>
                <w:sz w:val="22"/>
                <w:lang w:eastAsia="en-GB"/>
              </w:rPr>
              <w:t xml:space="preserve"> in the middle with CU down</w:t>
            </w:r>
            <w:r w:rsidRPr="00066DE9">
              <w:rPr>
                <w:rFonts w:ascii="Calibri" w:eastAsia="Times New Roman" w:hAnsi="Calibri" w:cs="Calibri"/>
                <w:color w:val="000000"/>
                <w:sz w:val="22"/>
                <w:lang w:eastAsia="en-GB"/>
              </w:rPr>
              <w:br/>
              <w:t xml:space="preserve">67-70 negative pressure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proofErr w:type="spellStart"/>
            <w:r w:rsidRPr="00066DE9">
              <w:rPr>
                <w:rFonts w:ascii="Calibri" w:eastAsia="Times New Roman" w:hAnsi="Calibri" w:cs="Calibri"/>
                <w:color w:val="000000"/>
                <w:sz w:val="22"/>
                <w:lang w:eastAsia="en-GB"/>
              </w:rPr>
              <w:t>Slare</w:t>
            </w:r>
            <w:proofErr w:type="spellEnd"/>
            <w:r w:rsidRPr="00066DE9">
              <w:rPr>
                <w:rFonts w:ascii="Calibri" w:eastAsia="Times New Roman" w:hAnsi="Calibri" w:cs="Calibri"/>
                <w:color w:val="000000"/>
                <w:sz w:val="22"/>
                <w:lang w:eastAsia="en-GB"/>
              </w:rPr>
              <w:t xml:space="preserve"> screens for the negative pressure rooms in the lobby (1x power socket and 1x VGA from inside the room</w:t>
            </w:r>
            <w:r w:rsidRPr="00066DE9">
              <w:rPr>
                <w:rFonts w:ascii="Calibri" w:eastAsia="Times New Roman" w:hAnsi="Calibri" w:cs="Calibri"/>
                <w:color w:val="000000"/>
                <w:sz w:val="22"/>
                <w:lang w:eastAsia="en-GB"/>
              </w:rPr>
              <w:br/>
              <w:t xml:space="preserve">1x Multi parameter monitor with </w:t>
            </w:r>
            <w:proofErr w:type="spellStart"/>
            <w:r w:rsidRPr="00066DE9">
              <w:rPr>
                <w:rFonts w:ascii="Calibri" w:eastAsia="Times New Roman" w:hAnsi="Calibri" w:cs="Calibri"/>
                <w:color w:val="000000"/>
                <w:sz w:val="22"/>
                <w:lang w:eastAsia="en-GB"/>
              </w:rPr>
              <w:t>obs</w:t>
            </w:r>
            <w:proofErr w:type="spellEnd"/>
            <w:r w:rsidRPr="00066DE9">
              <w:rPr>
                <w:rFonts w:ascii="Calibri" w:eastAsia="Times New Roman" w:hAnsi="Calibri" w:cs="Calibri"/>
                <w:color w:val="000000"/>
                <w:sz w:val="22"/>
                <w:lang w:eastAsia="en-GB"/>
              </w:rPr>
              <w:t>, 12x ECG, IBP, CO2, NIBP - all the specs. With Printer.</w:t>
            </w:r>
            <w:r w:rsidRPr="00066DE9">
              <w:rPr>
                <w:rFonts w:ascii="Calibri" w:eastAsia="Times New Roman" w:hAnsi="Calibri" w:cs="Calibri"/>
                <w:color w:val="000000"/>
                <w:sz w:val="22"/>
                <w:lang w:eastAsia="en-GB"/>
              </w:rPr>
              <w:br/>
              <w:t xml:space="preserve">Pendant with two network points. </w:t>
            </w:r>
            <w:r w:rsidRPr="00066DE9">
              <w:rPr>
                <w:rFonts w:ascii="Calibri" w:eastAsia="Times New Roman" w:hAnsi="Calibri" w:cs="Calibri"/>
                <w:color w:val="000000"/>
                <w:sz w:val="22"/>
                <w:lang w:eastAsia="en-GB"/>
              </w:rPr>
              <w:br/>
              <w:t>1x diagnostic set 777 wall mounted/</w:t>
            </w:r>
            <w:proofErr w:type="spellStart"/>
            <w:r w:rsidRPr="00066DE9">
              <w:rPr>
                <w:rFonts w:ascii="Calibri" w:eastAsia="Times New Roman" w:hAnsi="Calibri" w:cs="Calibri"/>
                <w:color w:val="000000"/>
                <w:sz w:val="22"/>
                <w:lang w:eastAsia="en-GB"/>
              </w:rPr>
              <w:t>draeger</w:t>
            </w:r>
            <w:proofErr w:type="spellEnd"/>
            <w:r w:rsidRPr="00066DE9">
              <w:rPr>
                <w:rFonts w:ascii="Calibri" w:eastAsia="Times New Roman" w:hAnsi="Calibri" w:cs="Calibri"/>
                <w:color w:val="000000"/>
                <w:sz w:val="22"/>
                <w:lang w:eastAsia="en-GB"/>
              </w:rPr>
              <w:t xml:space="preserve"> pendant</w:t>
            </w:r>
            <w:r w:rsidRPr="00066DE9">
              <w:rPr>
                <w:rFonts w:ascii="Calibri" w:eastAsia="Times New Roman" w:hAnsi="Calibri" w:cs="Calibri"/>
                <w:color w:val="000000"/>
                <w:sz w:val="22"/>
                <w:lang w:eastAsia="en-GB"/>
              </w:rPr>
              <w:br/>
              <w:t xml:space="preserve">1x manual defibrillator with C02 - </w:t>
            </w:r>
            <w:r w:rsidRPr="00066DE9">
              <w:rPr>
                <w:rFonts w:ascii="Calibri" w:eastAsia="Times New Roman" w:hAnsi="Calibri" w:cs="Calibri"/>
                <w:color w:val="000000"/>
                <w:sz w:val="22"/>
                <w:lang w:eastAsia="en-GB"/>
              </w:rPr>
              <w:br/>
              <w:t>1x thermometer</w:t>
            </w:r>
            <w:r w:rsidRPr="00066DE9">
              <w:rPr>
                <w:rFonts w:ascii="Calibri" w:eastAsia="Times New Roman" w:hAnsi="Calibri" w:cs="Calibri"/>
                <w:color w:val="000000"/>
                <w:sz w:val="22"/>
                <w:lang w:eastAsia="en-GB"/>
              </w:rPr>
              <w:br/>
              <w:t>1x nebuliser</w:t>
            </w:r>
            <w:r w:rsidRPr="00066DE9">
              <w:rPr>
                <w:rFonts w:ascii="Calibri" w:eastAsia="Times New Roman" w:hAnsi="Calibri" w:cs="Calibri"/>
                <w:color w:val="000000"/>
                <w:sz w:val="22"/>
                <w:lang w:eastAsia="en-GB"/>
              </w:rPr>
              <w:br/>
              <w:t xml:space="preserve">1x </w:t>
            </w:r>
            <w:proofErr w:type="spellStart"/>
            <w:r w:rsidRPr="00066DE9">
              <w:rPr>
                <w:rFonts w:ascii="Calibri" w:eastAsia="Times New Roman" w:hAnsi="Calibri" w:cs="Calibri"/>
                <w:color w:val="000000"/>
                <w:sz w:val="22"/>
                <w:lang w:eastAsia="en-GB"/>
              </w:rPr>
              <w:t>Xrable</w:t>
            </w:r>
            <w:proofErr w:type="spellEnd"/>
            <w:r w:rsidRPr="00066DE9">
              <w:rPr>
                <w:rFonts w:ascii="Calibri" w:eastAsia="Times New Roman" w:hAnsi="Calibri" w:cs="Calibri"/>
                <w:color w:val="000000"/>
                <w:sz w:val="22"/>
                <w:lang w:eastAsia="en-GB"/>
              </w:rPr>
              <w:t xml:space="preserve"> patient trolley</w:t>
            </w:r>
            <w:r w:rsidRPr="00066DE9">
              <w:rPr>
                <w:rFonts w:ascii="Calibri" w:eastAsia="Times New Roman" w:hAnsi="Calibri" w:cs="Calibri"/>
                <w:color w:val="000000"/>
                <w:sz w:val="22"/>
                <w:lang w:eastAsia="en-GB"/>
              </w:rPr>
              <w:br/>
              <w:t xml:space="preserve">1x patient warmer for 2x </w:t>
            </w:r>
            <w:r w:rsidRPr="00066DE9">
              <w:rPr>
                <w:rFonts w:ascii="Calibri" w:eastAsia="Times New Roman" w:hAnsi="Calibri" w:cs="Calibri"/>
                <w:color w:val="000000"/>
                <w:sz w:val="22"/>
                <w:lang w:eastAsia="en-GB"/>
              </w:rPr>
              <w:lastRenderedPageBreak/>
              <w:t>cubicles 2 in RAS area)</w:t>
            </w:r>
            <w:r w:rsidRPr="00066DE9">
              <w:rPr>
                <w:rFonts w:ascii="Calibri" w:eastAsia="Times New Roman" w:hAnsi="Calibri" w:cs="Calibri"/>
                <w:color w:val="000000"/>
                <w:sz w:val="22"/>
                <w:lang w:eastAsia="en-GB"/>
              </w:rPr>
              <w:br/>
              <w:t xml:space="preserve">1x </w:t>
            </w:r>
            <w:proofErr w:type="spellStart"/>
            <w:r w:rsidRPr="00066DE9">
              <w:rPr>
                <w:rFonts w:ascii="Calibri" w:eastAsia="Times New Roman" w:hAnsi="Calibri" w:cs="Calibri"/>
                <w:color w:val="000000"/>
                <w:sz w:val="22"/>
                <w:lang w:eastAsia="en-GB"/>
              </w:rPr>
              <w:t>Oxylog</w:t>
            </w:r>
            <w:proofErr w:type="spellEnd"/>
            <w:r w:rsidRPr="00066DE9">
              <w:rPr>
                <w:rFonts w:ascii="Calibri" w:eastAsia="Times New Roman" w:hAnsi="Calibri" w:cs="Calibri"/>
                <w:color w:val="000000"/>
                <w:sz w:val="22"/>
                <w:lang w:eastAsia="en-GB"/>
              </w:rPr>
              <w:t xml:space="preserve"> each </w:t>
            </w:r>
            <w:proofErr w:type="spellStart"/>
            <w:r w:rsidRPr="00066DE9">
              <w:rPr>
                <w:rFonts w:ascii="Calibri" w:eastAsia="Times New Roman" w:hAnsi="Calibri" w:cs="Calibri"/>
                <w:color w:val="000000"/>
                <w:sz w:val="22"/>
                <w:lang w:eastAsia="en-GB"/>
              </w:rPr>
              <w:t>neg</w:t>
            </w:r>
            <w:proofErr w:type="spellEnd"/>
            <w:r w:rsidRPr="00066DE9">
              <w:rPr>
                <w:rFonts w:ascii="Calibri" w:eastAsia="Times New Roman" w:hAnsi="Calibri" w:cs="Calibri"/>
                <w:color w:val="000000"/>
                <w:sz w:val="22"/>
                <w:lang w:eastAsia="en-GB"/>
              </w:rPr>
              <w:t xml:space="preserve"> pressure rooms 4x</w:t>
            </w:r>
            <w:r w:rsidRPr="00066DE9">
              <w:rPr>
                <w:rFonts w:ascii="Calibri" w:eastAsia="Times New Roman" w:hAnsi="Calibri" w:cs="Calibri"/>
                <w:color w:val="000000"/>
                <w:sz w:val="22"/>
                <w:lang w:eastAsia="en-GB"/>
              </w:rPr>
              <w:br/>
              <w:t xml:space="preserve">3x </w:t>
            </w:r>
            <w:proofErr w:type="spellStart"/>
            <w:r w:rsidRPr="00066DE9">
              <w:rPr>
                <w:rFonts w:ascii="Calibri" w:eastAsia="Times New Roman" w:hAnsi="Calibri" w:cs="Calibri"/>
                <w:color w:val="000000"/>
                <w:sz w:val="22"/>
                <w:lang w:eastAsia="en-GB"/>
              </w:rPr>
              <w:t>Oxylogs</w:t>
            </w:r>
            <w:proofErr w:type="spellEnd"/>
            <w:r w:rsidRPr="00066DE9">
              <w:rPr>
                <w:rFonts w:ascii="Calibri" w:eastAsia="Times New Roman" w:hAnsi="Calibri" w:cs="Calibri"/>
                <w:color w:val="000000"/>
                <w:sz w:val="22"/>
                <w:lang w:eastAsia="en-GB"/>
              </w:rPr>
              <w:t xml:space="preserve">  for the standard rooms</w:t>
            </w:r>
            <w:r w:rsidRPr="00066DE9">
              <w:rPr>
                <w:rFonts w:ascii="Calibri" w:eastAsia="Times New Roman" w:hAnsi="Calibri" w:cs="Calibri"/>
                <w:color w:val="000000"/>
                <w:sz w:val="22"/>
                <w:lang w:eastAsia="en-GB"/>
              </w:rPr>
              <w:br/>
              <w:t>4x LUCAS</w:t>
            </w:r>
            <w:r w:rsidRPr="00066DE9">
              <w:rPr>
                <w:rFonts w:ascii="Calibri" w:eastAsia="Times New Roman" w:hAnsi="Calibri" w:cs="Calibri"/>
                <w:color w:val="000000"/>
                <w:sz w:val="22"/>
                <w:lang w:eastAsia="en-GB"/>
              </w:rPr>
              <w:br/>
              <w:t>2 volumetric pumps, one syringe</w:t>
            </w:r>
            <w:r w:rsidRPr="00066DE9">
              <w:rPr>
                <w:rFonts w:ascii="Calibri" w:eastAsia="Times New Roman" w:hAnsi="Calibri" w:cs="Calibri"/>
                <w:color w:val="000000"/>
                <w:sz w:val="22"/>
                <w:lang w:eastAsia="en-GB"/>
              </w:rPr>
              <w:br/>
              <w:t>1x fluid warmers in each</w:t>
            </w:r>
            <w:r w:rsidRPr="00066DE9">
              <w:rPr>
                <w:rFonts w:ascii="Calibri" w:eastAsia="Times New Roman" w:hAnsi="Calibri" w:cs="Calibri"/>
                <w:color w:val="000000"/>
                <w:sz w:val="22"/>
                <w:lang w:eastAsia="en-GB"/>
              </w:rPr>
              <w:br/>
              <w:t xml:space="preserve">1x Banana bed + hoist + M&amp;H </w:t>
            </w:r>
            <w:r w:rsidRPr="00066DE9">
              <w:rPr>
                <w:rFonts w:ascii="Calibri" w:eastAsia="Times New Roman" w:hAnsi="Calibri" w:cs="Calibri"/>
                <w:color w:val="000000"/>
                <w:sz w:val="22"/>
                <w:lang w:eastAsia="en-GB"/>
              </w:rPr>
              <w:br/>
              <w:t xml:space="preserve">1x 650 GE </w:t>
            </w:r>
            <w:r w:rsidRPr="00066DE9">
              <w:rPr>
                <w:rFonts w:ascii="Calibri" w:eastAsia="Times New Roman" w:hAnsi="Calibri" w:cs="Calibri"/>
                <w:color w:val="000000"/>
                <w:sz w:val="22"/>
                <w:lang w:eastAsia="en-GB"/>
              </w:rPr>
              <w:br/>
              <w:t xml:space="preserve">1x stand on and chair scales for </w:t>
            </w:r>
            <w:proofErr w:type="spellStart"/>
            <w:r w:rsidRPr="00066DE9">
              <w:rPr>
                <w:rFonts w:ascii="Calibri" w:eastAsia="Times New Roman" w:hAnsi="Calibri" w:cs="Calibri"/>
                <w:color w:val="000000"/>
                <w:sz w:val="22"/>
                <w:lang w:eastAsia="en-GB"/>
              </w:rPr>
              <w:t>Resus</w:t>
            </w:r>
            <w:proofErr w:type="spellEnd"/>
            <w:r w:rsidRPr="00066DE9">
              <w:rPr>
                <w:rFonts w:ascii="Calibri" w:eastAsia="Times New Roman" w:hAnsi="Calibri" w:cs="Calibri"/>
                <w:color w:val="000000"/>
                <w:sz w:val="22"/>
                <w:lang w:eastAsia="en-GB"/>
              </w:rPr>
              <w:t xml:space="preserve"> + Baby Scale</w:t>
            </w:r>
            <w:r w:rsidRPr="00066DE9">
              <w:rPr>
                <w:rFonts w:ascii="Calibri" w:eastAsia="Times New Roman" w:hAnsi="Calibri" w:cs="Calibri"/>
                <w:color w:val="000000"/>
                <w:sz w:val="22"/>
                <w:lang w:eastAsia="en-GB"/>
              </w:rPr>
              <w:br/>
              <w:t xml:space="preserve">+ 1x </w:t>
            </w:r>
            <w:proofErr w:type="spellStart"/>
            <w:r w:rsidRPr="00066DE9">
              <w:rPr>
                <w:rFonts w:ascii="Calibri" w:eastAsia="Times New Roman" w:hAnsi="Calibri" w:cs="Calibri"/>
                <w:color w:val="000000"/>
                <w:sz w:val="22"/>
                <w:lang w:eastAsia="en-GB"/>
              </w:rPr>
              <w:t>Resuscitaire</w:t>
            </w:r>
            <w:proofErr w:type="spellEnd"/>
            <w:r w:rsidRPr="00066DE9">
              <w:rPr>
                <w:rFonts w:ascii="Calibri" w:eastAsia="Times New Roman" w:hAnsi="Calibri" w:cs="Calibri"/>
                <w:color w:val="000000"/>
                <w:sz w:val="22"/>
                <w:lang w:eastAsia="en-GB"/>
              </w:rPr>
              <w:t xml:space="preserve"> for Transport </w:t>
            </w:r>
            <w:r w:rsidRPr="00066DE9">
              <w:rPr>
                <w:rFonts w:ascii="Calibri" w:eastAsia="Times New Roman" w:hAnsi="Calibri" w:cs="Calibri"/>
                <w:color w:val="000000"/>
                <w:sz w:val="22"/>
                <w:lang w:eastAsia="en-GB"/>
              </w:rPr>
              <w:br/>
              <w:t>3x rapid infuser</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lastRenderedPageBreak/>
              <w:t>14 sockets on the pendant + 4 sockets on trunking</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1x PC  no printers (in the staff area</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r>
      <w:tr w:rsidR="00066DE9" w:rsidRPr="00066DE9" w:rsidTr="00066DE9">
        <w:trPr>
          <w:trHeight w:val="2030"/>
        </w:trPr>
        <w:tc>
          <w:tcPr>
            <w:tcW w:w="0" w:type="auto"/>
            <w:tcBorders>
              <w:top w:val="nil"/>
              <w:left w:val="single" w:sz="4" w:space="0" w:color="auto"/>
              <w:bottom w:val="single" w:sz="4" w:space="0" w:color="auto"/>
              <w:right w:val="single" w:sz="4" w:space="0" w:color="auto"/>
            </w:tcBorders>
            <w:shd w:val="clear" w:color="000000" w:fill="C6EFCE"/>
            <w:vAlign w:val="center"/>
            <w:hideMark/>
          </w:tcPr>
          <w:p w:rsidR="00066DE9" w:rsidRPr="00066DE9" w:rsidRDefault="00066DE9" w:rsidP="00066DE9">
            <w:pPr>
              <w:rPr>
                <w:rFonts w:ascii="Calibri" w:eastAsia="Times New Roman" w:hAnsi="Calibri" w:cs="Calibri"/>
                <w:color w:val="006100"/>
                <w:sz w:val="22"/>
                <w:lang w:eastAsia="en-GB"/>
              </w:rPr>
            </w:pPr>
            <w:r w:rsidRPr="00066DE9">
              <w:rPr>
                <w:rFonts w:ascii="Calibri" w:eastAsia="Times New Roman" w:hAnsi="Calibri" w:cs="Calibri"/>
                <w:color w:val="006100"/>
                <w:sz w:val="22"/>
                <w:lang w:eastAsia="en-GB"/>
              </w:rPr>
              <w:lastRenderedPageBreak/>
              <w:t>Staff Base 81</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2x Central monitors with 2x screens</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2x PC for nurses + 2x Dr + 1 HCW + 2x phones + 1 Printer + </w:t>
            </w:r>
            <w:proofErr w:type="spellStart"/>
            <w:r w:rsidRPr="00066DE9">
              <w:rPr>
                <w:rFonts w:ascii="Calibri" w:eastAsia="Times New Roman" w:hAnsi="Calibri" w:cs="Calibri"/>
                <w:color w:val="000000"/>
                <w:sz w:val="22"/>
                <w:lang w:eastAsia="en-GB"/>
              </w:rPr>
              <w:t>Ipad</w:t>
            </w:r>
            <w:proofErr w:type="spellEnd"/>
            <w:r w:rsidRPr="00066DE9">
              <w:rPr>
                <w:rFonts w:ascii="Calibri" w:eastAsia="Times New Roman" w:hAnsi="Calibri" w:cs="Calibri"/>
                <w:color w:val="000000"/>
                <w:sz w:val="22"/>
                <w:lang w:eastAsia="en-GB"/>
              </w:rPr>
              <w:t xml:space="preserve"> Chargers + BM Ketone Kits Charger</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8</w:t>
            </w:r>
          </w:p>
        </w:tc>
      </w:tr>
      <w:tr w:rsidR="00066DE9" w:rsidRPr="00066DE9" w:rsidTr="00066DE9">
        <w:trPr>
          <w:trHeight w:val="870"/>
        </w:trPr>
        <w:tc>
          <w:tcPr>
            <w:tcW w:w="0" w:type="auto"/>
            <w:tcBorders>
              <w:top w:val="nil"/>
              <w:left w:val="single" w:sz="4" w:space="0" w:color="auto"/>
              <w:bottom w:val="single" w:sz="4" w:space="0" w:color="auto"/>
              <w:right w:val="single" w:sz="4" w:space="0" w:color="auto"/>
            </w:tcBorders>
            <w:shd w:val="clear" w:color="000000" w:fill="C6EFCE"/>
            <w:vAlign w:val="center"/>
            <w:hideMark/>
          </w:tcPr>
          <w:p w:rsidR="00066DE9" w:rsidRPr="00066DE9" w:rsidRDefault="00066DE9" w:rsidP="00066DE9">
            <w:pPr>
              <w:rPr>
                <w:rFonts w:ascii="Calibri" w:eastAsia="Times New Roman" w:hAnsi="Calibri" w:cs="Calibri"/>
                <w:color w:val="006100"/>
                <w:sz w:val="22"/>
                <w:lang w:eastAsia="en-GB"/>
              </w:rPr>
            </w:pPr>
            <w:r w:rsidRPr="00066DE9">
              <w:rPr>
                <w:rFonts w:ascii="Calibri" w:eastAsia="Times New Roman" w:hAnsi="Calibri" w:cs="Calibri"/>
                <w:color w:val="006100"/>
                <w:sz w:val="22"/>
                <w:lang w:eastAsia="en-GB"/>
              </w:rPr>
              <w:t>Drug Store 76</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1x Blood Gas Machine</w:t>
            </w:r>
            <w:r w:rsidRPr="00066DE9">
              <w:rPr>
                <w:rFonts w:ascii="Calibri" w:eastAsia="Times New Roman" w:hAnsi="Calibri" w:cs="Calibri"/>
                <w:color w:val="000000"/>
                <w:sz w:val="22"/>
                <w:lang w:eastAsia="en-GB"/>
              </w:rPr>
              <w:br/>
              <w:t>1x Drug Fridge + Thermometer</w:t>
            </w:r>
            <w:r w:rsidRPr="00066DE9">
              <w:rPr>
                <w:rFonts w:ascii="Calibri" w:eastAsia="Times New Roman" w:hAnsi="Calibri" w:cs="Calibri"/>
                <w:color w:val="000000"/>
                <w:sz w:val="22"/>
                <w:lang w:eastAsia="en-GB"/>
              </w:rPr>
              <w:br/>
              <w:t>Storage of equip</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12</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1x PC (for Medusa Access)  + Printer</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C6EFCE"/>
            <w:vAlign w:val="center"/>
            <w:hideMark/>
          </w:tcPr>
          <w:p w:rsidR="00066DE9" w:rsidRPr="00066DE9" w:rsidRDefault="00066DE9" w:rsidP="00066DE9">
            <w:pPr>
              <w:rPr>
                <w:rFonts w:ascii="Calibri" w:eastAsia="Times New Roman" w:hAnsi="Calibri" w:cs="Calibri"/>
                <w:color w:val="006100"/>
                <w:sz w:val="22"/>
                <w:lang w:eastAsia="en-GB"/>
              </w:rPr>
            </w:pPr>
            <w:r w:rsidRPr="00066DE9">
              <w:rPr>
                <w:rFonts w:ascii="Calibri" w:eastAsia="Times New Roman" w:hAnsi="Calibri" w:cs="Calibri"/>
                <w:color w:val="006100"/>
                <w:sz w:val="22"/>
                <w:lang w:eastAsia="en-GB"/>
              </w:rPr>
              <w:t>Store 77</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Charging for IV pumps</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1740"/>
        </w:trPr>
        <w:tc>
          <w:tcPr>
            <w:tcW w:w="0" w:type="auto"/>
            <w:tcBorders>
              <w:top w:val="nil"/>
              <w:left w:val="single" w:sz="4" w:space="0" w:color="auto"/>
              <w:bottom w:val="single" w:sz="4" w:space="0" w:color="auto"/>
              <w:right w:val="single" w:sz="4" w:space="0" w:color="auto"/>
            </w:tcBorders>
            <w:shd w:val="clear" w:color="000000" w:fill="FFC7CE"/>
            <w:vAlign w:val="center"/>
            <w:hideMark/>
          </w:tcPr>
          <w:p w:rsidR="00066DE9" w:rsidRPr="00066DE9" w:rsidRDefault="00066DE9" w:rsidP="00066DE9">
            <w:pPr>
              <w:rPr>
                <w:rFonts w:ascii="Calibri" w:eastAsia="Times New Roman" w:hAnsi="Calibri" w:cs="Calibri"/>
                <w:color w:val="9C0006"/>
                <w:sz w:val="22"/>
                <w:lang w:eastAsia="en-GB"/>
              </w:rPr>
            </w:pPr>
            <w:r w:rsidRPr="00066DE9">
              <w:rPr>
                <w:rFonts w:ascii="Calibri" w:eastAsia="Times New Roman" w:hAnsi="Calibri" w:cs="Calibri"/>
                <w:color w:val="9C0006"/>
                <w:sz w:val="22"/>
                <w:lang w:eastAsia="en-GB"/>
              </w:rPr>
              <w:t>EMAS Booking in 82</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PHP (prehospital handover practitioner) next to receptionists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IT</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2x PC (one with 2 screens PHP nurse) + Printer + Wrist Bands printers + Patient Labels</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8</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FFC7CE"/>
            <w:vAlign w:val="center"/>
            <w:hideMark/>
          </w:tcPr>
          <w:p w:rsidR="00066DE9" w:rsidRPr="00066DE9" w:rsidRDefault="00066DE9" w:rsidP="00066DE9">
            <w:pPr>
              <w:rPr>
                <w:rFonts w:ascii="Calibri" w:eastAsia="Times New Roman" w:hAnsi="Calibri" w:cs="Calibri"/>
                <w:color w:val="9C0006"/>
                <w:sz w:val="22"/>
                <w:lang w:eastAsia="en-GB"/>
              </w:rPr>
            </w:pPr>
            <w:r w:rsidRPr="00066DE9">
              <w:rPr>
                <w:rFonts w:ascii="Calibri" w:eastAsia="Times New Roman" w:hAnsi="Calibri" w:cs="Calibri"/>
                <w:color w:val="9C0006"/>
                <w:sz w:val="22"/>
                <w:lang w:eastAsia="en-GB"/>
              </w:rPr>
              <w:lastRenderedPageBreak/>
              <w:t>Lobby  83</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Weighing bridge</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580"/>
        </w:trPr>
        <w:tc>
          <w:tcPr>
            <w:tcW w:w="0" w:type="auto"/>
            <w:tcBorders>
              <w:top w:val="nil"/>
              <w:left w:val="single" w:sz="4" w:space="0" w:color="auto"/>
              <w:bottom w:val="single" w:sz="4" w:space="0" w:color="auto"/>
              <w:right w:val="single" w:sz="4" w:space="0" w:color="auto"/>
            </w:tcBorders>
            <w:shd w:val="clear" w:color="000000" w:fill="FFC7CE"/>
            <w:vAlign w:val="center"/>
            <w:hideMark/>
          </w:tcPr>
          <w:p w:rsidR="00066DE9" w:rsidRPr="00066DE9" w:rsidRDefault="00066DE9" w:rsidP="00066DE9">
            <w:pPr>
              <w:rPr>
                <w:rFonts w:ascii="Calibri" w:eastAsia="Times New Roman" w:hAnsi="Calibri" w:cs="Calibri"/>
                <w:color w:val="9C0006"/>
                <w:sz w:val="22"/>
                <w:lang w:eastAsia="en-GB"/>
              </w:rPr>
            </w:pPr>
            <w:r w:rsidRPr="00066DE9">
              <w:rPr>
                <w:rFonts w:ascii="Calibri" w:eastAsia="Times New Roman" w:hAnsi="Calibri" w:cs="Calibri"/>
                <w:color w:val="9C0006"/>
                <w:sz w:val="22"/>
                <w:lang w:eastAsia="en-GB"/>
              </w:rPr>
              <w:t>EMAS Trolley Bay 84,85+89+90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Open plan space.</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Ela to confirm with Abby Stryker (check power sockets)</w:t>
            </w:r>
            <w:r w:rsidRPr="00066DE9">
              <w:rPr>
                <w:rFonts w:ascii="Calibri" w:eastAsia="Times New Roman" w:hAnsi="Calibri" w:cs="Calibri"/>
                <w:color w:val="000000"/>
                <w:sz w:val="22"/>
                <w:lang w:eastAsia="en-GB"/>
              </w:rPr>
              <w:br/>
              <w:t xml:space="preserve">2x Mobile </w:t>
            </w:r>
            <w:proofErr w:type="spellStart"/>
            <w:r w:rsidRPr="00066DE9">
              <w:rPr>
                <w:rFonts w:ascii="Calibri" w:eastAsia="Times New Roman" w:hAnsi="Calibri" w:cs="Calibri"/>
                <w:color w:val="000000"/>
                <w:sz w:val="22"/>
                <w:lang w:eastAsia="en-GB"/>
              </w:rPr>
              <w:t>Obs</w:t>
            </w:r>
            <w:proofErr w:type="spellEnd"/>
            <w:r w:rsidRPr="00066DE9">
              <w:rPr>
                <w:rFonts w:ascii="Calibri" w:eastAsia="Times New Roman" w:hAnsi="Calibri" w:cs="Calibri"/>
                <w:color w:val="000000"/>
                <w:sz w:val="22"/>
                <w:lang w:eastAsia="en-GB"/>
              </w:rPr>
              <w:t xml:space="preserve"> Monitor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FFC7CE"/>
            <w:vAlign w:val="center"/>
            <w:hideMark/>
          </w:tcPr>
          <w:p w:rsidR="00066DE9" w:rsidRPr="00066DE9" w:rsidRDefault="00066DE9" w:rsidP="00066DE9">
            <w:pPr>
              <w:rPr>
                <w:rFonts w:ascii="Calibri" w:eastAsia="Times New Roman" w:hAnsi="Calibri" w:cs="Calibri"/>
                <w:color w:val="9C0006"/>
                <w:sz w:val="22"/>
                <w:lang w:eastAsia="en-GB"/>
              </w:rPr>
            </w:pPr>
            <w:r w:rsidRPr="00066DE9">
              <w:rPr>
                <w:rFonts w:ascii="Calibri" w:eastAsia="Times New Roman" w:hAnsi="Calibri" w:cs="Calibri"/>
                <w:color w:val="9C0006"/>
                <w:sz w:val="22"/>
                <w:lang w:eastAsia="en-GB"/>
              </w:rPr>
              <w:t xml:space="preserve">CBRN Store 86 - </w:t>
            </w:r>
            <w:proofErr w:type="spellStart"/>
            <w:r w:rsidRPr="00066DE9">
              <w:rPr>
                <w:rFonts w:ascii="Calibri" w:eastAsia="Times New Roman" w:hAnsi="Calibri" w:cs="Calibri"/>
                <w:color w:val="9C0006"/>
                <w:sz w:val="22"/>
                <w:lang w:eastAsia="en-GB"/>
              </w:rPr>
              <w:t>Decon</w:t>
            </w:r>
            <w:proofErr w:type="spellEnd"/>
            <w:r w:rsidRPr="00066DE9">
              <w:rPr>
                <w:rFonts w:ascii="Calibri" w:eastAsia="Times New Roman" w:hAnsi="Calibri" w:cs="Calibri"/>
                <w:color w:val="9C0006"/>
                <w:sz w:val="22"/>
                <w:lang w:eastAsia="en-GB"/>
              </w:rPr>
              <w:t xml:space="preserve"> Zone</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FFFFFF"/>
                <w:sz w:val="22"/>
                <w:lang w:eastAsia="en-GB"/>
              </w:rPr>
            </w:pPr>
            <w:r w:rsidRPr="00066DE9">
              <w:rPr>
                <w:rFonts w:ascii="Calibri" w:eastAsia="Times New Roman" w:hAnsi="Calibri" w:cs="Calibri"/>
                <w:color w:val="FFFFFF"/>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r>
      <w:tr w:rsidR="00066DE9" w:rsidRPr="00066DE9" w:rsidTr="00066DE9">
        <w:trPr>
          <w:trHeight w:val="2610"/>
        </w:trPr>
        <w:tc>
          <w:tcPr>
            <w:tcW w:w="0" w:type="auto"/>
            <w:tcBorders>
              <w:top w:val="nil"/>
              <w:left w:val="single" w:sz="4" w:space="0" w:color="auto"/>
              <w:bottom w:val="single" w:sz="4" w:space="0" w:color="auto"/>
              <w:right w:val="single" w:sz="4" w:space="0" w:color="auto"/>
            </w:tcBorders>
            <w:shd w:val="clear" w:color="000000" w:fill="C6EFCE"/>
            <w:vAlign w:val="center"/>
            <w:hideMark/>
          </w:tcPr>
          <w:p w:rsidR="00066DE9" w:rsidRPr="00066DE9" w:rsidRDefault="00066DE9" w:rsidP="00066DE9">
            <w:pPr>
              <w:rPr>
                <w:rFonts w:ascii="Calibri" w:eastAsia="Times New Roman" w:hAnsi="Calibri" w:cs="Calibri"/>
                <w:color w:val="006100"/>
                <w:sz w:val="22"/>
                <w:lang w:eastAsia="en-GB"/>
              </w:rPr>
            </w:pPr>
            <w:r w:rsidRPr="00066DE9">
              <w:rPr>
                <w:rFonts w:ascii="Calibri" w:eastAsia="Times New Roman" w:hAnsi="Calibri" w:cs="Calibri"/>
                <w:color w:val="006100"/>
                <w:sz w:val="22"/>
                <w:lang w:eastAsia="en-GB"/>
              </w:rPr>
              <w:t>Command</w:t>
            </w:r>
            <w:r w:rsidRPr="00066DE9">
              <w:rPr>
                <w:rFonts w:ascii="Calibri" w:eastAsia="Times New Roman" w:hAnsi="Calibri" w:cs="Calibri"/>
                <w:color w:val="006100"/>
                <w:sz w:val="22"/>
                <w:lang w:eastAsia="en-GB"/>
              </w:rPr>
              <w:br/>
              <w:t>Zone79</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Zone for Consultant and Nurse in Charge + Coordinator</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2x central Monitoring for the entire </w:t>
            </w:r>
            <w:proofErr w:type="gramStart"/>
            <w:r w:rsidRPr="00066DE9">
              <w:rPr>
                <w:rFonts w:ascii="Calibri" w:eastAsia="Times New Roman" w:hAnsi="Calibri" w:cs="Calibri"/>
                <w:color w:val="000000"/>
                <w:sz w:val="22"/>
                <w:lang w:eastAsia="en-GB"/>
              </w:rPr>
              <w:t>department  (</w:t>
            </w:r>
            <w:proofErr w:type="gramEnd"/>
            <w:r w:rsidRPr="00066DE9">
              <w:rPr>
                <w:rFonts w:ascii="Calibri" w:eastAsia="Times New Roman" w:hAnsi="Calibri" w:cs="Calibri"/>
                <w:color w:val="000000"/>
                <w:sz w:val="22"/>
                <w:lang w:eastAsia="en-GB"/>
              </w:rPr>
              <w:t xml:space="preserve">RAS area - WHOLE ED </w:t>
            </w:r>
            <w:proofErr w:type="spellStart"/>
            <w:r w:rsidRPr="00066DE9">
              <w:rPr>
                <w:rFonts w:ascii="Calibri" w:eastAsia="Times New Roman" w:hAnsi="Calibri" w:cs="Calibri"/>
                <w:color w:val="000000"/>
                <w:sz w:val="22"/>
                <w:lang w:eastAsia="en-GB"/>
              </w:rPr>
              <w:t>dept</w:t>
            </w:r>
            <w:proofErr w:type="spellEnd"/>
            <w:r w:rsidRPr="00066DE9">
              <w:rPr>
                <w:rFonts w:ascii="Calibri" w:eastAsia="Times New Roman" w:hAnsi="Calibri" w:cs="Calibri"/>
                <w:color w:val="000000"/>
                <w:sz w:val="22"/>
                <w:lang w:eastAsia="en-GB"/>
              </w:rPr>
              <w:t>).</w:t>
            </w:r>
            <w:r w:rsidRPr="00066DE9">
              <w:rPr>
                <w:rFonts w:ascii="Calibri" w:eastAsia="Times New Roman" w:hAnsi="Calibri" w:cs="Calibri"/>
                <w:color w:val="000000"/>
                <w:sz w:val="22"/>
                <w:lang w:eastAsia="en-GB"/>
              </w:rPr>
              <w:br/>
              <w:t>2x from SITE bed space capacity</w:t>
            </w:r>
            <w:r w:rsidRPr="00066DE9">
              <w:rPr>
                <w:rFonts w:ascii="Calibri" w:eastAsia="Times New Roman" w:hAnsi="Calibri" w:cs="Calibri"/>
                <w:color w:val="000000"/>
                <w:sz w:val="22"/>
                <w:lang w:eastAsia="en-GB"/>
              </w:rPr>
              <w:br/>
              <w:t>4x monitors screen.</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8</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2x Dual Screen PCs + + 1x PC single monitor (triage) + 3 phone lines (Nurse + Consultant + Coordinator Assistant) + 1x printer.</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6</w:t>
            </w:r>
          </w:p>
        </w:tc>
      </w:tr>
      <w:tr w:rsidR="00066DE9" w:rsidRPr="00066DE9" w:rsidTr="00066DE9">
        <w:trPr>
          <w:trHeight w:val="580"/>
        </w:trPr>
        <w:tc>
          <w:tcPr>
            <w:tcW w:w="0" w:type="auto"/>
            <w:tcBorders>
              <w:top w:val="nil"/>
              <w:left w:val="single" w:sz="4" w:space="0" w:color="auto"/>
              <w:bottom w:val="single" w:sz="4" w:space="0" w:color="auto"/>
              <w:right w:val="single" w:sz="4" w:space="0" w:color="auto"/>
            </w:tcBorders>
            <w:shd w:val="clear" w:color="000000" w:fill="CC66FF"/>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Body Viewing 91</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sockets for relative</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2x Central monitors with 2x screens</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580"/>
        </w:trPr>
        <w:tc>
          <w:tcPr>
            <w:tcW w:w="0" w:type="auto"/>
            <w:tcBorders>
              <w:top w:val="nil"/>
              <w:left w:val="single" w:sz="4" w:space="0" w:color="auto"/>
              <w:bottom w:val="single" w:sz="4" w:space="0" w:color="auto"/>
              <w:right w:val="single" w:sz="4" w:space="0" w:color="auto"/>
            </w:tcBorders>
            <w:shd w:val="clear" w:color="000000" w:fill="CC66FF"/>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Relatives Rooms</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TV Screen potentially calming </w:t>
            </w:r>
            <w:proofErr w:type="gramStart"/>
            <w:r w:rsidRPr="00066DE9">
              <w:rPr>
                <w:rFonts w:ascii="Calibri" w:eastAsia="Times New Roman" w:hAnsi="Calibri" w:cs="Calibri"/>
                <w:color w:val="000000"/>
                <w:sz w:val="22"/>
                <w:lang w:eastAsia="en-GB"/>
              </w:rPr>
              <w:t>patients ?</w:t>
            </w:r>
            <w:proofErr w:type="gramEnd"/>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Charging points?</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CC66FF"/>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lastRenderedPageBreak/>
              <w:t>ACC WC 93</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MAJORS</w:t>
            </w:r>
          </w:p>
        </w:tc>
        <w:tc>
          <w:tcPr>
            <w:tcW w:w="0" w:type="auto"/>
            <w:tcBorders>
              <w:top w:val="nil"/>
              <w:left w:val="nil"/>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r>
      <w:tr w:rsidR="00066DE9" w:rsidRPr="00066DE9" w:rsidTr="00066DE9">
        <w:trPr>
          <w:trHeight w:val="2900"/>
        </w:trPr>
        <w:tc>
          <w:tcPr>
            <w:tcW w:w="0" w:type="auto"/>
            <w:tcBorders>
              <w:top w:val="nil"/>
              <w:left w:val="single" w:sz="4" w:space="0" w:color="auto"/>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11x Cubicles 94-105 includes</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104 will become DU/CU - and 107 currently DU CU will become a cubicle</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proofErr w:type="spellStart"/>
            <w:r w:rsidRPr="00066DE9">
              <w:rPr>
                <w:rFonts w:ascii="Calibri" w:eastAsia="Times New Roman" w:hAnsi="Calibri" w:cs="Calibri"/>
                <w:color w:val="000000"/>
                <w:sz w:val="22"/>
                <w:lang w:eastAsia="en-GB"/>
              </w:rPr>
              <w:t>Xrable</w:t>
            </w:r>
            <w:proofErr w:type="spellEnd"/>
            <w:r w:rsidRPr="00066DE9">
              <w:rPr>
                <w:rFonts w:ascii="Calibri" w:eastAsia="Times New Roman" w:hAnsi="Calibri" w:cs="Calibri"/>
                <w:color w:val="000000"/>
                <w:sz w:val="22"/>
                <w:lang w:eastAsia="en-GB"/>
              </w:rPr>
              <w:t xml:space="preserve"> Trolley</w:t>
            </w:r>
            <w:r w:rsidRPr="00066DE9">
              <w:rPr>
                <w:rFonts w:ascii="Calibri" w:eastAsia="Times New Roman" w:hAnsi="Calibri" w:cs="Calibri"/>
                <w:color w:val="000000"/>
                <w:sz w:val="22"/>
                <w:lang w:eastAsia="en-GB"/>
              </w:rPr>
              <w:br/>
            </w:r>
            <w:proofErr w:type="spellStart"/>
            <w:r w:rsidRPr="00066DE9">
              <w:rPr>
                <w:rFonts w:ascii="Calibri" w:eastAsia="Times New Roman" w:hAnsi="Calibri" w:cs="Calibri"/>
                <w:color w:val="000000"/>
                <w:sz w:val="22"/>
                <w:lang w:eastAsia="en-GB"/>
              </w:rPr>
              <w:t>Obs</w:t>
            </w:r>
            <w:proofErr w:type="spellEnd"/>
            <w:r w:rsidRPr="00066DE9">
              <w:rPr>
                <w:rFonts w:ascii="Calibri" w:eastAsia="Times New Roman" w:hAnsi="Calibri" w:cs="Calibri"/>
                <w:color w:val="000000"/>
                <w:sz w:val="22"/>
                <w:lang w:eastAsia="en-GB"/>
              </w:rPr>
              <w:t xml:space="preserve"> Machines Wall mounted - Central Station</w:t>
            </w:r>
            <w:r w:rsidRPr="00066DE9">
              <w:rPr>
                <w:rFonts w:ascii="Calibri" w:eastAsia="Times New Roman" w:hAnsi="Calibri" w:cs="Calibri"/>
                <w:color w:val="000000"/>
                <w:sz w:val="22"/>
                <w:lang w:eastAsia="en-GB"/>
              </w:rPr>
              <w:br/>
              <w:t xml:space="preserve">1x </w:t>
            </w:r>
            <w:proofErr w:type="spellStart"/>
            <w:r w:rsidRPr="00066DE9">
              <w:rPr>
                <w:rFonts w:ascii="Calibri" w:eastAsia="Times New Roman" w:hAnsi="Calibri" w:cs="Calibri"/>
                <w:color w:val="000000"/>
                <w:sz w:val="22"/>
                <w:lang w:eastAsia="en-GB"/>
              </w:rPr>
              <w:t>Diag</w:t>
            </w:r>
            <w:proofErr w:type="spellEnd"/>
            <w:r w:rsidRPr="00066DE9">
              <w:rPr>
                <w:rFonts w:ascii="Calibri" w:eastAsia="Times New Roman" w:hAnsi="Calibri" w:cs="Calibri"/>
                <w:color w:val="000000"/>
                <w:sz w:val="22"/>
                <w:lang w:eastAsia="en-GB"/>
              </w:rPr>
              <w:t xml:space="preserve"> Sets</w:t>
            </w:r>
            <w:r w:rsidRPr="00066DE9">
              <w:rPr>
                <w:rFonts w:ascii="Calibri" w:eastAsia="Times New Roman" w:hAnsi="Calibri" w:cs="Calibri"/>
                <w:color w:val="000000"/>
                <w:sz w:val="22"/>
                <w:lang w:eastAsia="en-GB"/>
              </w:rPr>
              <w:br/>
              <w:t>1x Ceiling exam Lights</w:t>
            </w:r>
            <w:r w:rsidRPr="00066DE9">
              <w:rPr>
                <w:rFonts w:ascii="Calibri" w:eastAsia="Times New Roman" w:hAnsi="Calibri" w:cs="Calibri"/>
                <w:color w:val="000000"/>
                <w:sz w:val="22"/>
                <w:lang w:eastAsia="en-GB"/>
              </w:rPr>
              <w:br/>
              <w:t>ECGs - 12 lead portable not in every room</w:t>
            </w:r>
            <w:r w:rsidRPr="00066DE9">
              <w:rPr>
                <w:rFonts w:ascii="Calibri" w:eastAsia="Times New Roman" w:hAnsi="Calibri" w:cs="Calibri"/>
                <w:color w:val="000000"/>
                <w:sz w:val="22"/>
                <w:lang w:eastAsia="en-GB"/>
              </w:rPr>
              <w:br/>
              <w:t>Scales but not in each room</w:t>
            </w:r>
            <w:r w:rsidRPr="00066DE9">
              <w:rPr>
                <w:rFonts w:ascii="Calibri" w:eastAsia="Times New Roman" w:hAnsi="Calibri" w:cs="Calibri"/>
                <w:color w:val="000000"/>
                <w:sz w:val="22"/>
                <w:lang w:eastAsia="en-GB"/>
              </w:rPr>
              <w:br/>
              <w:t xml:space="preserve">2x </w:t>
            </w:r>
            <w:proofErr w:type="spellStart"/>
            <w:r w:rsidRPr="00066DE9">
              <w:rPr>
                <w:rFonts w:ascii="Calibri" w:eastAsia="Times New Roman" w:hAnsi="Calibri" w:cs="Calibri"/>
                <w:color w:val="000000"/>
                <w:sz w:val="22"/>
                <w:lang w:eastAsia="en-GB"/>
              </w:rPr>
              <w:t>Resus</w:t>
            </w:r>
            <w:proofErr w:type="spellEnd"/>
            <w:r w:rsidRPr="00066DE9">
              <w:rPr>
                <w:rFonts w:ascii="Calibri" w:eastAsia="Times New Roman" w:hAnsi="Calibri" w:cs="Calibri"/>
                <w:color w:val="000000"/>
                <w:sz w:val="22"/>
                <w:lang w:eastAsia="en-GB"/>
              </w:rPr>
              <w:t xml:space="preserve"> Trolleys around the staff base area</w:t>
            </w:r>
            <w:r w:rsidRPr="00066DE9">
              <w:rPr>
                <w:rFonts w:ascii="Calibri" w:eastAsia="Times New Roman" w:hAnsi="Calibri" w:cs="Calibri"/>
                <w:color w:val="000000"/>
                <w:sz w:val="22"/>
                <w:lang w:eastAsia="en-GB"/>
              </w:rPr>
              <w:br/>
              <w:t xml:space="preserve">Hoists and Banana Bed - confirm with H&amp;S </w:t>
            </w:r>
            <w:proofErr w:type="spellStart"/>
            <w:r w:rsidRPr="00066DE9">
              <w:rPr>
                <w:rFonts w:ascii="Calibri" w:eastAsia="Times New Roman" w:hAnsi="Calibri" w:cs="Calibri"/>
                <w:color w:val="000000"/>
                <w:sz w:val="22"/>
                <w:lang w:eastAsia="en-GB"/>
              </w:rPr>
              <w:t>incl</w:t>
            </w:r>
            <w:proofErr w:type="spellEnd"/>
            <w:r w:rsidRPr="00066DE9">
              <w:rPr>
                <w:rFonts w:ascii="Calibri" w:eastAsia="Times New Roman" w:hAnsi="Calibri" w:cs="Calibri"/>
                <w:color w:val="000000"/>
                <w:sz w:val="22"/>
                <w:lang w:eastAsia="en-GB"/>
              </w:rPr>
              <w:t xml:space="preserve"> location</w:t>
            </w:r>
            <w:r w:rsidRPr="00066DE9">
              <w:rPr>
                <w:rFonts w:ascii="Calibri" w:eastAsia="Times New Roman" w:hAnsi="Calibri" w:cs="Calibri"/>
                <w:color w:val="000000"/>
                <w:sz w:val="22"/>
                <w:lang w:eastAsia="en-GB"/>
              </w:rPr>
              <w:br/>
              <w:t>1x  LUCAS</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8</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No PCs no printers</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2320"/>
        </w:trPr>
        <w:tc>
          <w:tcPr>
            <w:tcW w:w="0" w:type="auto"/>
            <w:tcBorders>
              <w:top w:val="nil"/>
              <w:left w:val="single" w:sz="4" w:space="0" w:color="auto"/>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lastRenderedPageBreak/>
              <w:t xml:space="preserve">1x safe assessment/DNV + </w:t>
            </w:r>
            <w:proofErr w:type="spellStart"/>
            <w:r w:rsidRPr="00066DE9">
              <w:rPr>
                <w:rFonts w:ascii="Calibri" w:eastAsia="Times New Roman" w:hAnsi="Calibri" w:cs="Calibri"/>
                <w:color w:val="000000"/>
                <w:sz w:val="22"/>
                <w:lang w:eastAsia="en-GB"/>
              </w:rPr>
              <w:t>Ensuite</w:t>
            </w:r>
            <w:proofErr w:type="spellEnd"/>
            <w:r w:rsidRPr="00066DE9">
              <w:rPr>
                <w:rFonts w:ascii="Calibri" w:eastAsia="Times New Roman" w:hAnsi="Calibri" w:cs="Calibri"/>
                <w:color w:val="000000"/>
                <w:sz w:val="22"/>
                <w:lang w:eastAsia="en-GB"/>
              </w:rPr>
              <w:t xml:space="preserve"> 101</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Bariatric</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bariatric room ceiling hoist bathroom and room itself  M&amp;H</w:t>
            </w:r>
            <w:r w:rsidRPr="00066DE9">
              <w:rPr>
                <w:rFonts w:ascii="Calibri" w:eastAsia="Times New Roman" w:hAnsi="Calibri" w:cs="Calibri"/>
                <w:color w:val="000000"/>
                <w:sz w:val="22"/>
                <w:lang w:eastAsia="en-GB"/>
              </w:rPr>
              <w:br/>
            </w:r>
            <w:proofErr w:type="spellStart"/>
            <w:r w:rsidRPr="00066DE9">
              <w:rPr>
                <w:rFonts w:ascii="Calibri" w:eastAsia="Times New Roman" w:hAnsi="Calibri" w:cs="Calibri"/>
                <w:color w:val="000000"/>
                <w:sz w:val="22"/>
                <w:lang w:eastAsia="en-GB"/>
              </w:rPr>
              <w:t>Xrable</w:t>
            </w:r>
            <w:proofErr w:type="spellEnd"/>
            <w:r w:rsidRPr="00066DE9">
              <w:rPr>
                <w:rFonts w:ascii="Calibri" w:eastAsia="Times New Roman" w:hAnsi="Calibri" w:cs="Calibri"/>
                <w:color w:val="000000"/>
                <w:sz w:val="22"/>
                <w:lang w:eastAsia="en-GB"/>
              </w:rPr>
              <w:t xml:space="preserve"> Trolley</w:t>
            </w:r>
            <w:r w:rsidRPr="00066DE9">
              <w:rPr>
                <w:rFonts w:ascii="Calibri" w:eastAsia="Times New Roman" w:hAnsi="Calibri" w:cs="Calibri"/>
                <w:color w:val="000000"/>
                <w:sz w:val="22"/>
                <w:lang w:eastAsia="en-GB"/>
              </w:rPr>
              <w:br/>
            </w:r>
            <w:proofErr w:type="spellStart"/>
            <w:r w:rsidRPr="00066DE9">
              <w:rPr>
                <w:rFonts w:ascii="Calibri" w:eastAsia="Times New Roman" w:hAnsi="Calibri" w:cs="Calibri"/>
                <w:color w:val="000000"/>
                <w:sz w:val="22"/>
                <w:lang w:eastAsia="en-GB"/>
              </w:rPr>
              <w:t>Obs</w:t>
            </w:r>
            <w:proofErr w:type="spellEnd"/>
            <w:r w:rsidRPr="00066DE9">
              <w:rPr>
                <w:rFonts w:ascii="Calibri" w:eastAsia="Times New Roman" w:hAnsi="Calibri" w:cs="Calibri"/>
                <w:color w:val="000000"/>
                <w:sz w:val="22"/>
                <w:lang w:eastAsia="en-GB"/>
              </w:rPr>
              <w:t xml:space="preserve"> Machines Wall mounted - Central Station</w:t>
            </w:r>
            <w:r w:rsidRPr="00066DE9">
              <w:rPr>
                <w:rFonts w:ascii="Calibri" w:eastAsia="Times New Roman" w:hAnsi="Calibri" w:cs="Calibri"/>
                <w:color w:val="000000"/>
                <w:sz w:val="22"/>
                <w:lang w:eastAsia="en-GB"/>
              </w:rPr>
              <w:br/>
              <w:t xml:space="preserve">1x </w:t>
            </w:r>
            <w:proofErr w:type="spellStart"/>
            <w:r w:rsidRPr="00066DE9">
              <w:rPr>
                <w:rFonts w:ascii="Calibri" w:eastAsia="Times New Roman" w:hAnsi="Calibri" w:cs="Calibri"/>
                <w:color w:val="000000"/>
                <w:sz w:val="22"/>
                <w:lang w:eastAsia="en-GB"/>
              </w:rPr>
              <w:t>Diag</w:t>
            </w:r>
            <w:proofErr w:type="spellEnd"/>
            <w:r w:rsidRPr="00066DE9">
              <w:rPr>
                <w:rFonts w:ascii="Calibri" w:eastAsia="Times New Roman" w:hAnsi="Calibri" w:cs="Calibri"/>
                <w:color w:val="000000"/>
                <w:sz w:val="22"/>
                <w:lang w:eastAsia="en-GB"/>
              </w:rPr>
              <w:t xml:space="preserve"> Sets</w:t>
            </w:r>
            <w:r w:rsidRPr="00066DE9">
              <w:rPr>
                <w:rFonts w:ascii="Calibri" w:eastAsia="Times New Roman" w:hAnsi="Calibri" w:cs="Calibri"/>
                <w:color w:val="000000"/>
                <w:sz w:val="22"/>
                <w:lang w:eastAsia="en-GB"/>
              </w:rPr>
              <w:br/>
              <w:t>1x Ceiling exam Lights</w:t>
            </w:r>
            <w:r w:rsidRPr="00066DE9">
              <w:rPr>
                <w:rFonts w:ascii="Calibri" w:eastAsia="Times New Roman" w:hAnsi="Calibri" w:cs="Calibri"/>
                <w:color w:val="000000"/>
                <w:sz w:val="22"/>
                <w:lang w:eastAsia="en-GB"/>
              </w:rPr>
              <w:br/>
              <w:t>ECGs - 12 lead portable not in every room</w:t>
            </w:r>
            <w:r w:rsidRPr="00066DE9">
              <w:rPr>
                <w:rFonts w:ascii="Calibri" w:eastAsia="Times New Roman" w:hAnsi="Calibri" w:cs="Calibri"/>
                <w:color w:val="000000"/>
                <w:sz w:val="22"/>
                <w:lang w:eastAsia="en-GB"/>
              </w:rPr>
              <w:br/>
              <w:t>Scales but not in each room</w:t>
            </w:r>
            <w:r w:rsidRPr="00066DE9">
              <w:rPr>
                <w:rFonts w:ascii="Calibri" w:eastAsia="Times New Roman" w:hAnsi="Calibri" w:cs="Calibri"/>
                <w:color w:val="000000"/>
                <w:sz w:val="22"/>
                <w:lang w:eastAsia="en-GB"/>
              </w:rPr>
              <w:br/>
              <w:t xml:space="preserve">2x </w:t>
            </w:r>
            <w:proofErr w:type="spellStart"/>
            <w:r w:rsidRPr="00066DE9">
              <w:rPr>
                <w:rFonts w:ascii="Calibri" w:eastAsia="Times New Roman" w:hAnsi="Calibri" w:cs="Calibri"/>
                <w:color w:val="000000"/>
                <w:sz w:val="22"/>
                <w:lang w:eastAsia="en-GB"/>
              </w:rPr>
              <w:t>Resus</w:t>
            </w:r>
            <w:proofErr w:type="spellEnd"/>
            <w:r w:rsidRPr="00066DE9">
              <w:rPr>
                <w:rFonts w:ascii="Calibri" w:eastAsia="Times New Roman" w:hAnsi="Calibri" w:cs="Calibri"/>
                <w:color w:val="000000"/>
                <w:sz w:val="22"/>
                <w:lang w:eastAsia="en-GB"/>
              </w:rPr>
              <w:t xml:space="preserve"> Trolleys around the staff base area</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8</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No PCs no printers</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Housekeeping 106</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FFFFFF"/>
                <w:sz w:val="22"/>
                <w:lang w:eastAsia="en-GB"/>
              </w:rPr>
            </w:pPr>
            <w:r w:rsidRPr="00066DE9">
              <w:rPr>
                <w:rFonts w:ascii="Calibri" w:eastAsia="Times New Roman" w:hAnsi="Calibri" w:cs="Calibri"/>
                <w:color w:val="FFFFFF"/>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DU/CU 107 now</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FFFFFF"/>
                <w:sz w:val="22"/>
                <w:lang w:eastAsia="en-GB"/>
              </w:rPr>
            </w:pPr>
            <w:r w:rsidRPr="00066DE9">
              <w:rPr>
                <w:rFonts w:ascii="Calibri" w:eastAsia="Times New Roman" w:hAnsi="Calibri" w:cs="Calibri"/>
                <w:color w:val="FFFFFF"/>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r>
      <w:tr w:rsidR="00066DE9" w:rsidRPr="00066DE9" w:rsidTr="00066DE9">
        <w:trPr>
          <w:trHeight w:val="1160"/>
        </w:trPr>
        <w:tc>
          <w:tcPr>
            <w:tcW w:w="0" w:type="auto"/>
            <w:tcBorders>
              <w:top w:val="nil"/>
              <w:left w:val="single" w:sz="4" w:space="0" w:color="auto"/>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Staff Base 108</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BM Kit Chargers + IPad Charger + 1x Central Station 2 monitors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8</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5x PC + 1 Printer + 3x phone lines (high volume of referrals)</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18</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6</w:t>
            </w:r>
          </w:p>
        </w:tc>
      </w:tr>
      <w:tr w:rsidR="00066DE9" w:rsidRPr="00066DE9" w:rsidTr="00066DE9">
        <w:trPr>
          <w:trHeight w:val="3770"/>
        </w:trPr>
        <w:tc>
          <w:tcPr>
            <w:tcW w:w="0" w:type="auto"/>
            <w:tcBorders>
              <w:top w:val="nil"/>
              <w:left w:val="single" w:sz="4" w:space="0" w:color="auto"/>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lastRenderedPageBreak/>
              <w:t>Drug  109</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xml:space="preserve">1x Drug Fridge + fridge thermometer </w:t>
            </w:r>
            <w:r w:rsidRPr="00066DE9">
              <w:rPr>
                <w:rFonts w:ascii="Calibri" w:eastAsia="Times New Roman" w:hAnsi="Calibri" w:cs="Calibri"/>
                <w:color w:val="000000"/>
                <w:sz w:val="22"/>
                <w:lang w:eastAsia="en-GB"/>
              </w:rPr>
              <w:br/>
              <w:t>Blood Gas Analyser</w:t>
            </w:r>
            <w:r w:rsidRPr="00066DE9">
              <w:rPr>
                <w:rFonts w:ascii="Calibri" w:eastAsia="Times New Roman" w:hAnsi="Calibri" w:cs="Calibri"/>
                <w:color w:val="000000"/>
                <w:sz w:val="22"/>
                <w:lang w:eastAsia="en-GB"/>
              </w:rPr>
              <w:br/>
              <w:t>US + infusion + bladder scanner + ECG 12 lead</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1x PC with a printer</w:t>
            </w:r>
            <w:r w:rsidRPr="00066DE9">
              <w:rPr>
                <w:rFonts w:ascii="Calibri" w:eastAsia="Times New Roman" w:hAnsi="Calibri" w:cs="Calibri"/>
                <w:color w:val="000000"/>
                <w:sz w:val="22"/>
                <w:lang w:eastAsia="en-GB"/>
              </w:rPr>
              <w:br/>
            </w:r>
            <w:r w:rsidRPr="00066DE9">
              <w:rPr>
                <w:rFonts w:ascii="Calibri" w:eastAsia="Times New Roman" w:hAnsi="Calibri" w:cs="Calibri"/>
                <w:color w:val="000000"/>
                <w:sz w:val="22"/>
                <w:lang w:eastAsia="en-GB"/>
              </w:rPr>
              <w:br/>
            </w:r>
            <w:r w:rsidRPr="00066DE9">
              <w:rPr>
                <w:rFonts w:ascii="Calibri" w:eastAsia="Times New Roman" w:hAnsi="Calibri" w:cs="Calibri"/>
                <w:b/>
                <w:bCs/>
                <w:color w:val="000000"/>
                <w:sz w:val="22"/>
                <w:lang w:eastAsia="en-GB"/>
              </w:rPr>
              <w:t>PATIENTS GET ADMITTED - photocopy notes  - THESE PRINTERS ARE TO BE SEPARATE - need to sit in own dedicated areas - ICT TO CONSIDER THIS</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4</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Store room 110</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Medical Equipment's</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20</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jc w:val="right"/>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0</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Linen Room 111</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FFFFFF"/>
                <w:sz w:val="22"/>
                <w:lang w:eastAsia="en-GB"/>
              </w:rPr>
            </w:pPr>
            <w:r w:rsidRPr="00066DE9">
              <w:rPr>
                <w:rFonts w:ascii="Calibri" w:eastAsia="Times New Roman" w:hAnsi="Calibri" w:cs="Calibri"/>
                <w:color w:val="FFFFFF"/>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Staff Rest Room 112</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FFFFFF"/>
                <w:sz w:val="22"/>
                <w:lang w:eastAsia="en-GB"/>
              </w:rPr>
            </w:pPr>
            <w:r w:rsidRPr="00066DE9">
              <w:rPr>
                <w:rFonts w:ascii="Calibri" w:eastAsia="Times New Roman" w:hAnsi="Calibri" w:cs="Calibri"/>
                <w:color w:val="FFFFFF"/>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Staff Toilets 113 2x</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FFFFFF"/>
                <w:sz w:val="22"/>
                <w:lang w:eastAsia="en-GB"/>
              </w:rPr>
            </w:pPr>
            <w:r w:rsidRPr="00066DE9">
              <w:rPr>
                <w:rFonts w:ascii="Calibri" w:eastAsia="Times New Roman" w:hAnsi="Calibri" w:cs="Calibri"/>
                <w:color w:val="FFFFFF"/>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r>
      <w:tr w:rsidR="00066DE9" w:rsidRPr="00066DE9" w:rsidTr="00066DE9">
        <w:trPr>
          <w:trHeight w:val="290"/>
        </w:trPr>
        <w:tc>
          <w:tcPr>
            <w:tcW w:w="0" w:type="auto"/>
            <w:tcBorders>
              <w:top w:val="nil"/>
              <w:left w:val="single" w:sz="4" w:space="0" w:color="auto"/>
              <w:bottom w:val="single" w:sz="4" w:space="0" w:color="auto"/>
              <w:right w:val="single" w:sz="4" w:space="0" w:color="auto"/>
            </w:tcBorders>
            <w:shd w:val="clear" w:color="000000" w:fill="00B0F0"/>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ACC WC 114</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FFFFFF"/>
                <w:sz w:val="22"/>
                <w:lang w:eastAsia="en-GB"/>
              </w:rPr>
            </w:pPr>
            <w:r w:rsidRPr="00066DE9">
              <w:rPr>
                <w:rFonts w:ascii="Calibri" w:eastAsia="Times New Roman" w:hAnsi="Calibri" w:cs="Calibri"/>
                <w:color w:val="FFFFFF"/>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auto" w:fill="auto"/>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DDEBF7"/>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c>
          <w:tcPr>
            <w:tcW w:w="0" w:type="auto"/>
            <w:tcBorders>
              <w:top w:val="nil"/>
              <w:left w:val="nil"/>
              <w:bottom w:val="single" w:sz="4" w:space="0" w:color="auto"/>
              <w:right w:val="single" w:sz="4" w:space="0" w:color="auto"/>
            </w:tcBorders>
            <w:shd w:val="clear" w:color="000000" w:fill="E2EFDA"/>
            <w:vAlign w:val="center"/>
            <w:hideMark/>
          </w:tcPr>
          <w:p w:rsidR="00066DE9" w:rsidRPr="00066DE9" w:rsidRDefault="00066DE9" w:rsidP="00066DE9">
            <w:pPr>
              <w:rPr>
                <w:rFonts w:ascii="Calibri" w:eastAsia="Times New Roman" w:hAnsi="Calibri" w:cs="Calibri"/>
                <w:color w:val="000000"/>
                <w:sz w:val="22"/>
                <w:lang w:eastAsia="en-GB"/>
              </w:rPr>
            </w:pPr>
            <w:r w:rsidRPr="00066DE9">
              <w:rPr>
                <w:rFonts w:ascii="Calibri" w:eastAsia="Times New Roman" w:hAnsi="Calibri" w:cs="Calibri"/>
                <w:color w:val="000000"/>
                <w:sz w:val="22"/>
                <w:lang w:eastAsia="en-GB"/>
              </w:rPr>
              <w:t> </w:t>
            </w:r>
          </w:p>
        </w:tc>
      </w:tr>
    </w:tbl>
    <w:p w:rsidR="00066DE9" w:rsidRPr="00066DE9" w:rsidRDefault="00066DE9" w:rsidP="00066DE9">
      <w:pPr>
        <w:rPr>
          <w:lang w:eastAsia="en-GB"/>
        </w:rPr>
      </w:pPr>
    </w:p>
    <w:p w:rsidR="002A2910" w:rsidRDefault="002A2910">
      <w:pPr>
        <w:spacing w:after="200" w:line="276" w:lineRule="auto"/>
        <w:rPr>
          <w:lang w:eastAsia="en-GB"/>
        </w:rPr>
      </w:pPr>
    </w:p>
    <w:p w:rsidR="002A2910" w:rsidRDefault="002A2910">
      <w:pPr>
        <w:spacing w:after="200" w:line="276" w:lineRule="auto"/>
        <w:rPr>
          <w:lang w:eastAsia="en-GB"/>
        </w:rPr>
      </w:pPr>
    </w:p>
    <w:p w:rsidR="00066DE9" w:rsidRPr="00066DE9" w:rsidRDefault="00066DE9" w:rsidP="00066DE9">
      <w:pPr>
        <w:spacing w:after="200" w:line="276" w:lineRule="auto"/>
        <w:rPr>
          <w:rFonts w:asciiTheme="majorHAnsi" w:eastAsia="Times New Roman" w:hAnsiTheme="majorHAnsi" w:cstheme="majorBidi"/>
          <w:color w:val="365F91" w:themeColor="accent1" w:themeShade="BF"/>
          <w:sz w:val="32"/>
          <w:szCs w:val="32"/>
          <w:lang w:eastAsia="en-GB"/>
        </w:rPr>
        <w:sectPr w:rsidR="00066DE9" w:rsidRPr="00066DE9" w:rsidSect="00066DE9">
          <w:pgSz w:w="16838" w:h="11906" w:orient="landscape"/>
          <w:pgMar w:top="1440" w:right="1440" w:bottom="1440" w:left="1440" w:header="709" w:footer="709" w:gutter="0"/>
          <w:cols w:space="708"/>
          <w:docGrid w:linePitch="360"/>
        </w:sectPr>
      </w:pPr>
    </w:p>
    <w:p w:rsidR="00C1021F" w:rsidRDefault="00066DE9" w:rsidP="005D0AC7">
      <w:pPr>
        <w:pStyle w:val="Heading1"/>
        <w:rPr>
          <w:rFonts w:eastAsia="Times New Roman"/>
          <w:lang w:eastAsia="en-GB"/>
        </w:rPr>
      </w:pPr>
      <w:bookmarkStart w:id="449" w:name="_Toc100320619"/>
      <w:bookmarkStart w:id="450" w:name="_Toc100341101"/>
      <w:bookmarkStart w:id="451" w:name="_Toc100569517"/>
      <w:bookmarkStart w:id="452" w:name="_Toc105493556"/>
      <w:bookmarkStart w:id="453" w:name="_Toc105665281"/>
      <w:r>
        <w:rPr>
          <w:noProof/>
          <w:lang w:eastAsia="en-GB"/>
        </w:rPr>
        <w:lastRenderedPageBreak/>
        <w:drawing>
          <wp:inline distT="0" distB="0" distL="0" distR="0" wp14:anchorId="47BC025F" wp14:editId="1E09FEE7">
            <wp:extent cx="5137150" cy="6838950"/>
            <wp:effectExtent l="0" t="0" r="6350" b="0"/>
            <wp:docPr id="292" name="Picture 292" descr="C:\Users\APrydderch\AppData\Local\Microsoft\Windows\INetCache\Content.MSO\7D6081A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Prydderch\AppData\Local\Microsoft\Windows\INetCache\Content.MSO\7D6081A5.tm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137150" cy="6838950"/>
                    </a:xfrm>
                    <a:prstGeom prst="rect">
                      <a:avLst/>
                    </a:prstGeom>
                    <a:noFill/>
                    <a:ln>
                      <a:noFill/>
                    </a:ln>
                  </pic:spPr>
                </pic:pic>
              </a:graphicData>
            </a:graphic>
          </wp:inline>
        </w:drawing>
      </w:r>
      <w:bookmarkEnd w:id="449"/>
      <w:bookmarkEnd w:id="450"/>
      <w:bookmarkEnd w:id="451"/>
      <w:bookmarkEnd w:id="452"/>
      <w:bookmarkEnd w:id="453"/>
    </w:p>
    <w:p w:rsidR="00C1021F" w:rsidRDefault="00C1021F" w:rsidP="00C1021F">
      <w:pPr>
        <w:rPr>
          <w:rFonts w:asciiTheme="majorHAnsi" w:hAnsiTheme="majorHAnsi" w:cstheme="majorBidi"/>
          <w:color w:val="365F91" w:themeColor="accent1" w:themeShade="BF"/>
          <w:sz w:val="32"/>
          <w:szCs w:val="32"/>
          <w:lang w:eastAsia="en-GB"/>
        </w:rPr>
      </w:pPr>
      <w:r>
        <w:rPr>
          <w:lang w:eastAsia="en-GB"/>
        </w:rPr>
        <w:br w:type="page"/>
      </w:r>
    </w:p>
    <w:p w:rsidR="00C1021F" w:rsidRDefault="00C1021F" w:rsidP="00C1021F">
      <w:pPr>
        <w:pStyle w:val="Heading1"/>
        <w:rPr>
          <w:lang w:eastAsia="en-GB"/>
        </w:rPr>
      </w:pPr>
      <w:bookmarkStart w:id="454" w:name="_Toc105665282"/>
      <w:r>
        <w:rPr>
          <w:lang w:eastAsia="en-GB"/>
        </w:rPr>
        <w:lastRenderedPageBreak/>
        <w:t>Appendix AA – CIA Model</w:t>
      </w:r>
      <w:bookmarkEnd w:id="454"/>
    </w:p>
    <w:p w:rsidR="00C1021F" w:rsidRDefault="00C1021F" w:rsidP="00C1021F">
      <w:pPr>
        <w:rPr>
          <w:lang w:eastAsia="en-GB"/>
        </w:rPr>
      </w:pPr>
    </w:p>
    <w:p w:rsidR="00C1021F" w:rsidRDefault="00C1021F" w:rsidP="00C1021F">
      <w:pPr>
        <w:rPr>
          <w:lang w:eastAsia="en-GB"/>
        </w:rPr>
      </w:pPr>
    </w:p>
    <w:p w:rsidR="00C1021F" w:rsidRDefault="00C1021F" w:rsidP="00C1021F">
      <w:pPr>
        <w:rPr>
          <w:lang w:eastAsia="en-GB"/>
        </w:rPr>
      </w:pPr>
      <w:r>
        <w:rPr>
          <w:lang w:eastAsia="en-GB"/>
        </w:rPr>
        <w:object w:dxaOrig="1508" w:dyaOrig="983">
          <v:shape id="_x0000_i1030" type="#_x0000_t75" style="width:75.4pt;height:49.15pt" o:ole="">
            <v:imagedata r:id="rId102" o:title=""/>
          </v:shape>
          <o:OLEObject Type="Embed" ProgID="Excel.Sheet.12" ShapeID="_x0000_i1030" DrawAspect="Icon" ObjectID="_1722934613" r:id="rId103"/>
        </w:object>
      </w:r>
    </w:p>
    <w:p w:rsidR="00863197" w:rsidRDefault="00863197" w:rsidP="00C1021F">
      <w:pPr>
        <w:rPr>
          <w:lang w:eastAsia="en-GB"/>
        </w:rPr>
      </w:pPr>
    </w:p>
    <w:p w:rsidR="00863197" w:rsidRDefault="00863197">
      <w:pPr>
        <w:spacing w:after="200" w:line="276" w:lineRule="auto"/>
        <w:rPr>
          <w:lang w:eastAsia="en-GB"/>
        </w:rPr>
      </w:pPr>
      <w:r>
        <w:rPr>
          <w:lang w:eastAsia="en-GB"/>
        </w:rPr>
        <w:br w:type="page"/>
      </w:r>
    </w:p>
    <w:p w:rsidR="00863197" w:rsidRDefault="00863197" w:rsidP="00C1021F">
      <w:pPr>
        <w:rPr>
          <w:lang w:eastAsia="en-GB"/>
        </w:rPr>
      </w:pPr>
    </w:p>
    <w:p w:rsidR="00863197" w:rsidRDefault="00863197" w:rsidP="00863197">
      <w:pPr>
        <w:pStyle w:val="Heading1"/>
        <w:rPr>
          <w:lang w:eastAsia="en-GB"/>
        </w:rPr>
      </w:pPr>
      <w:bookmarkStart w:id="455" w:name="_Toc105665283"/>
      <w:r>
        <w:rPr>
          <w:lang w:eastAsia="en-GB"/>
        </w:rPr>
        <w:t>Appendix AB – Schedule of Accommodation &amp; Derogations</w:t>
      </w:r>
      <w:bookmarkEnd w:id="455"/>
    </w:p>
    <w:p w:rsidR="00863197" w:rsidRDefault="00863197" w:rsidP="00863197">
      <w:pPr>
        <w:rPr>
          <w:lang w:eastAsia="en-GB"/>
        </w:rPr>
      </w:pPr>
    </w:p>
    <w:p w:rsidR="00863197" w:rsidRDefault="00863197" w:rsidP="00863197">
      <w:pPr>
        <w:rPr>
          <w:lang w:eastAsia="en-GB"/>
        </w:rPr>
      </w:pPr>
    </w:p>
    <w:p w:rsidR="00863197" w:rsidRDefault="004819B4" w:rsidP="00863197">
      <w:pPr>
        <w:rPr>
          <w:lang w:eastAsia="en-GB"/>
        </w:rPr>
      </w:pPr>
      <w:r>
        <w:rPr>
          <w:lang w:eastAsia="en-GB"/>
        </w:rPr>
        <w:object w:dxaOrig="1376" w:dyaOrig="893">
          <v:shape id="_x0000_i1031" type="#_x0000_t75" style="width:68.8pt;height:44.65pt" o:ole="">
            <v:imagedata r:id="rId104" o:title=""/>
          </v:shape>
          <o:OLEObject Type="Embed" ProgID="Excel.Sheet.12" ShapeID="_x0000_i1031" DrawAspect="Icon" ObjectID="_1722934614" r:id="rId105"/>
        </w:object>
      </w:r>
    </w:p>
    <w:p w:rsidR="00863197" w:rsidRDefault="00863197" w:rsidP="00863197">
      <w:pPr>
        <w:rPr>
          <w:lang w:eastAsia="en-GB"/>
        </w:rPr>
      </w:pPr>
    </w:p>
    <w:p w:rsidR="00863197" w:rsidRDefault="00863197">
      <w:pPr>
        <w:spacing w:after="200" w:line="276" w:lineRule="auto"/>
        <w:rPr>
          <w:lang w:eastAsia="en-GB"/>
        </w:rPr>
      </w:pPr>
      <w:r>
        <w:rPr>
          <w:lang w:eastAsia="en-GB"/>
        </w:rPr>
        <w:br w:type="page"/>
      </w:r>
    </w:p>
    <w:p w:rsidR="00863197" w:rsidRDefault="00863197" w:rsidP="00863197">
      <w:pPr>
        <w:rPr>
          <w:lang w:eastAsia="en-GB"/>
        </w:rPr>
      </w:pPr>
    </w:p>
    <w:p w:rsidR="00863197" w:rsidRDefault="00863197" w:rsidP="00863197">
      <w:pPr>
        <w:pStyle w:val="Heading1"/>
        <w:rPr>
          <w:lang w:eastAsia="en-GB"/>
        </w:rPr>
      </w:pPr>
      <w:bookmarkStart w:id="456" w:name="_Toc105665284"/>
      <w:r>
        <w:rPr>
          <w:lang w:eastAsia="en-GB"/>
        </w:rPr>
        <w:t>Appendix AC – FB Forms</w:t>
      </w:r>
      <w:bookmarkEnd w:id="456"/>
    </w:p>
    <w:p w:rsidR="00863197" w:rsidRDefault="00863197" w:rsidP="00863197">
      <w:pPr>
        <w:rPr>
          <w:lang w:eastAsia="en-GB"/>
        </w:rPr>
      </w:pPr>
    </w:p>
    <w:p w:rsidR="00863197" w:rsidRDefault="00863197" w:rsidP="00863197">
      <w:pPr>
        <w:rPr>
          <w:lang w:eastAsia="en-GB"/>
        </w:rPr>
      </w:pPr>
    </w:p>
    <w:p w:rsidR="00863197" w:rsidRDefault="00155D55" w:rsidP="00863197">
      <w:pPr>
        <w:rPr>
          <w:lang w:eastAsia="en-GB"/>
        </w:rPr>
      </w:pPr>
      <w:r>
        <w:rPr>
          <w:lang w:eastAsia="en-GB"/>
        </w:rPr>
        <w:object w:dxaOrig="1530" w:dyaOrig="992">
          <v:shape id="_x0000_i1032" type="#_x0000_t75" style="width:76.5pt;height:49.6pt" o:ole="">
            <v:imagedata r:id="rId106" o:title=""/>
          </v:shape>
          <o:OLEObject Type="Embed" ProgID="Excel.Sheet.12" ShapeID="_x0000_i1032" DrawAspect="Icon" ObjectID="_1722934615" r:id="rId107"/>
        </w:object>
      </w:r>
    </w:p>
    <w:p w:rsidR="008067B5" w:rsidRDefault="008067B5" w:rsidP="00863197">
      <w:pPr>
        <w:rPr>
          <w:lang w:eastAsia="en-GB"/>
        </w:rPr>
      </w:pPr>
    </w:p>
    <w:p w:rsidR="008067B5" w:rsidRDefault="008067B5">
      <w:pPr>
        <w:spacing w:after="200" w:line="276" w:lineRule="auto"/>
        <w:rPr>
          <w:lang w:eastAsia="en-GB"/>
        </w:rPr>
      </w:pPr>
      <w:r>
        <w:rPr>
          <w:lang w:eastAsia="en-GB"/>
        </w:rPr>
        <w:br w:type="page"/>
      </w:r>
    </w:p>
    <w:p w:rsidR="008067B5" w:rsidRDefault="008067B5" w:rsidP="00863197">
      <w:pPr>
        <w:rPr>
          <w:lang w:eastAsia="en-GB"/>
        </w:rPr>
      </w:pPr>
    </w:p>
    <w:p w:rsidR="008067B5" w:rsidRDefault="008067B5" w:rsidP="008067B5">
      <w:pPr>
        <w:pStyle w:val="Heading1"/>
        <w:rPr>
          <w:lang w:eastAsia="en-GB"/>
        </w:rPr>
      </w:pPr>
      <w:bookmarkStart w:id="457" w:name="_Toc105665285"/>
      <w:r>
        <w:rPr>
          <w:lang w:eastAsia="en-GB"/>
        </w:rPr>
        <w:t>Appendix AD – BREEAM Assessment Report</w:t>
      </w:r>
      <w:bookmarkEnd w:id="457"/>
    </w:p>
    <w:p w:rsidR="008067B5" w:rsidRDefault="008067B5" w:rsidP="008067B5">
      <w:pPr>
        <w:rPr>
          <w:lang w:eastAsia="en-GB"/>
        </w:rPr>
      </w:pPr>
    </w:p>
    <w:p w:rsidR="008067B5" w:rsidRDefault="004F798E" w:rsidP="008067B5">
      <w:pPr>
        <w:rPr>
          <w:lang w:eastAsia="en-GB"/>
        </w:rPr>
      </w:pPr>
      <w:r>
        <w:rPr>
          <w:lang w:eastAsia="en-GB"/>
        </w:rPr>
        <w:object w:dxaOrig="1440" w:dyaOrig="932">
          <v:shape id="_x0000_i1033" type="#_x0000_t75" style="width:1in;height:46.6pt" o:ole="">
            <v:imagedata r:id="rId108" o:title=""/>
          </v:shape>
          <o:OLEObject Type="Embed" ProgID="AcroExch.Document.DC" ShapeID="_x0000_i1033" DrawAspect="Icon" ObjectID="_1722934616" r:id="rId109"/>
        </w:object>
      </w:r>
    </w:p>
    <w:p w:rsidR="008067B5" w:rsidRDefault="008067B5" w:rsidP="008067B5">
      <w:pPr>
        <w:rPr>
          <w:lang w:eastAsia="en-GB"/>
        </w:rPr>
      </w:pPr>
    </w:p>
    <w:p w:rsidR="004819B4" w:rsidRDefault="004819B4" w:rsidP="008067B5">
      <w:pPr>
        <w:rPr>
          <w:lang w:eastAsia="en-GB"/>
        </w:rPr>
      </w:pPr>
    </w:p>
    <w:p w:rsidR="004819B4" w:rsidRDefault="004819B4">
      <w:pPr>
        <w:spacing w:after="200" w:line="276" w:lineRule="auto"/>
        <w:rPr>
          <w:lang w:eastAsia="en-GB"/>
        </w:rPr>
      </w:pPr>
      <w:r>
        <w:rPr>
          <w:lang w:eastAsia="en-GB"/>
        </w:rPr>
        <w:br w:type="page"/>
      </w:r>
    </w:p>
    <w:p w:rsidR="004819B4" w:rsidRDefault="004819B4" w:rsidP="008067B5">
      <w:pPr>
        <w:rPr>
          <w:lang w:eastAsia="en-GB"/>
        </w:rPr>
      </w:pPr>
    </w:p>
    <w:p w:rsidR="004819B4" w:rsidRDefault="004819B4" w:rsidP="004819B4">
      <w:pPr>
        <w:pStyle w:val="Heading1"/>
        <w:rPr>
          <w:lang w:eastAsia="en-GB"/>
        </w:rPr>
      </w:pPr>
      <w:bookmarkStart w:id="458" w:name="_Toc105665286"/>
      <w:r>
        <w:rPr>
          <w:lang w:eastAsia="en-GB"/>
        </w:rPr>
        <w:t>Appendix AE – MMC Utilisation Assessment Tool</w:t>
      </w:r>
      <w:bookmarkEnd w:id="458"/>
    </w:p>
    <w:p w:rsidR="004819B4" w:rsidRDefault="004819B4" w:rsidP="004819B4">
      <w:pPr>
        <w:pStyle w:val="Heading1"/>
        <w:rPr>
          <w:lang w:eastAsia="en-GB"/>
        </w:rPr>
      </w:pPr>
    </w:p>
    <w:bookmarkStart w:id="459" w:name="_Toc105493562"/>
    <w:bookmarkStart w:id="460" w:name="_Toc105665287"/>
    <w:bookmarkEnd w:id="459"/>
    <w:bookmarkEnd w:id="460"/>
    <w:p w:rsidR="004819B4" w:rsidRDefault="004819B4" w:rsidP="004819B4">
      <w:pPr>
        <w:pStyle w:val="Heading1"/>
        <w:rPr>
          <w:lang w:eastAsia="en-GB"/>
        </w:rPr>
      </w:pPr>
      <w:r>
        <w:rPr>
          <w:lang w:eastAsia="en-GB"/>
        </w:rPr>
        <w:object w:dxaOrig="1531" w:dyaOrig="991">
          <v:shape id="_x0000_i1034" type="#_x0000_t75" style="width:76.55pt;height:49.55pt" o:ole="">
            <v:imagedata r:id="rId110" o:title=""/>
          </v:shape>
          <o:OLEObject Type="Embed" ProgID="AcroExch.Document.DC" ShapeID="_x0000_i1034" DrawAspect="Icon" ObjectID="_1722934617" r:id="rId111"/>
        </w:object>
      </w:r>
    </w:p>
    <w:p w:rsidR="00D20CD9" w:rsidRDefault="00D20CD9" w:rsidP="00D20CD9">
      <w:pPr>
        <w:rPr>
          <w:lang w:eastAsia="en-GB"/>
        </w:rPr>
      </w:pPr>
    </w:p>
    <w:p w:rsidR="00D20CD9" w:rsidRDefault="00D20CD9">
      <w:pPr>
        <w:spacing w:after="200" w:line="276" w:lineRule="auto"/>
        <w:rPr>
          <w:lang w:eastAsia="en-GB"/>
        </w:rPr>
      </w:pPr>
      <w:r>
        <w:rPr>
          <w:lang w:eastAsia="en-GB"/>
        </w:rPr>
        <w:br w:type="page"/>
      </w:r>
    </w:p>
    <w:p w:rsidR="00D20CD9" w:rsidRDefault="00D20CD9" w:rsidP="00D20CD9">
      <w:pPr>
        <w:rPr>
          <w:lang w:eastAsia="en-GB"/>
        </w:rPr>
      </w:pPr>
    </w:p>
    <w:p w:rsidR="00D20CD9" w:rsidRDefault="00D20CD9" w:rsidP="00D20CD9">
      <w:pPr>
        <w:pStyle w:val="Heading1"/>
        <w:rPr>
          <w:lang w:eastAsia="en-GB"/>
        </w:rPr>
      </w:pPr>
      <w:bookmarkStart w:id="461" w:name="_Toc105665288"/>
      <w:r>
        <w:rPr>
          <w:lang w:eastAsia="en-GB"/>
        </w:rPr>
        <w:t>Appendix AF – Post Project Evaluation Plan</w:t>
      </w:r>
      <w:bookmarkEnd w:id="461"/>
    </w:p>
    <w:p w:rsidR="00D20CD9" w:rsidRDefault="00D20CD9" w:rsidP="00D20CD9">
      <w:pPr>
        <w:rPr>
          <w:lang w:eastAsia="en-GB"/>
        </w:rPr>
      </w:pPr>
    </w:p>
    <w:p w:rsidR="00D20CD9" w:rsidRDefault="00D20CD9" w:rsidP="00D20CD9">
      <w:pPr>
        <w:rPr>
          <w:lang w:eastAsia="en-GB"/>
        </w:rPr>
      </w:pPr>
    </w:p>
    <w:p w:rsidR="00D20CD9" w:rsidRDefault="00D20CD9" w:rsidP="00D20CD9">
      <w:pPr>
        <w:rPr>
          <w:lang w:eastAsia="en-GB"/>
        </w:rPr>
      </w:pPr>
    </w:p>
    <w:bookmarkStart w:id="462" w:name="_MON_1716106157"/>
    <w:bookmarkEnd w:id="462"/>
    <w:p w:rsidR="00D20CD9" w:rsidRDefault="00D20CD9" w:rsidP="00D20CD9">
      <w:pPr>
        <w:rPr>
          <w:lang w:eastAsia="en-GB"/>
        </w:rPr>
      </w:pPr>
      <w:r>
        <w:rPr>
          <w:lang w:eastAsia="en-GB"/>
        </w:rPr>
        <w:object w:dxaOrig="1508" w:dyaOrig="983">
          <v:shape id="_x0000_i1035" type="#_x0000_t75" style="width:75.4pt;height:49.15pt" o:ole="">
            <v:imagedata r:id="rId112" o:title=""/>
          </v:shape>
          <o:OLEObject Type="Embed" ProgID="Word.Document.12" ShapeID="_x0000_i1035" DrawAspect="Icon" ObjectID="_1722934618" r:id="rId113">
            <o:FieldCodes>\s</o:FieldCodes>
          </o:OLEObject>
        </w:object>
      </w:r>
    </w:p>
    <w:p w:rsidR="00852E56" w:rsidRDefault="00852E56" w:rsidP="00D20CD9">
      <w:pPr>
        <w:rPr>
          <w:lang w:eastAsia="en-GB"/>
        </w:rPr>
      </w:pPr>
    </w:p>
    <w:p w:rsidR="00852E56" w:rsidRDefault="00852E56">
      <w:pPr>
        <w:spacing w:after="200" w:line="276" w:lineRule="auto"/>
        <w:rPr>
          <w:lang w:eastAsia="en-GB"/>
        </w:rPr>
      </w:pPr>
      <w:r>
        <w:rPr>
          <w:lang w:eastAsia="en-GB"/>
        </w:rPr>
        <w:br w:type="page"/>
      </w:r>
    </w:p>
    <w:p w:rsidR="00852E56" w:rsidRDefault="00852E56" w:rsidP="00D20CD9">
      <w:pPr>
        <w:rPr>
          <w:lang w:eastAsia="en-GB"/>
        </w:rPr>
      </w:pPr>
    </w:p>
    <w:p w:rsidR="00852E56" w:rsidRDefault="00852E56" w:rsidP="00852E56">
      <w:pPr>
        <w:pStyle w:val="Heading1"/>
        <w:rPr>
          <w:lang w:eastAsia="en-GB"/>
        </w:rPr>
      </w:pPr>
      <w:bookmarkStart w:id="463" w:name="_Toc105665289"/>
      <w:r>
        <w:rPr>
          <w:lang w:eastAsia="en-GB"/>
        </w:rPr>
        <w:t>Appendix AG – Social Value Plan</w:t>
      </w:r>
      <w:bookmarkEnd w:id="463"/>
    </w:p>
    <w:p w:rsidR="00852E56" w:rsidRDefault="00852E56" w:rsidP="00852E56">
      <w:pPr>
        <w:pStyle w:val="Heading1"/>
        <w:rPr>
          <w:lang w:eastAsia="en-GB"/>
        </w:rPr>
      </w:pPr>
    </w:p>
    <w:p w:rsidR="00852E56" w:rsidRDefault="00852E56" w:rsidP="00852E56">
      <w:pPr>
        <w:pStyle w:val="Heading1"/>
        <w:rPr>
          <w:lang w:eastAsia="en-GB"/>
        </w:rPr>
      </w:pPr>
      <w:bookmarkStart w:id="464" w:name="_Toc105665290"/>
      <w:bookmarkEnd w:id="464"/>
    </w:p>
    <w:p w:rsidR="004F798E" w:rsidRPr="004F798E" w:rsidRDefault="004F798E" w:rsidP="004F798E">
      <w:pPr>
        <w:rPr>
          <w:lang w:eastAsia="en-GB"/>
        </w:rPr>
        <w:sectPr w:rsidR="004F798E" w:rsidRPr="004F798E" w:rsidSect="00066DE9">
          <w:pgSz w:w="11906" w:h="16838"/>
          <w:pgMar w:top="1440" w:right="1440" w:bottom="1440" w:left="1440" w:header="709" w:footer="709" w:gutter="0"/>
          <w:cols w:space="708"/>
          <w:docGrid w:linePitch="360"/>
        </w:sectPr>
      </w:pPr>
      <w:r>
        <w:rPr>
          <w:lang w:eastAsia="en-GB"/>
        </w:rPr>
        <w:t>Removed GDPR</w:t>
      </w:r>
    </w:p>
    <w:p w:rsidR="005D0AC7" w:rsidRDefault="005D0AC7" w:rsidP="005D0AC7">
      <w:pPr>
        <w:pStyle w:val="Heading1"/>
        <w:rPr>
          <w:rFonts w:eastAsia="Times New Roman"/>
          <w:lang w:eastAsia="en-GB"/>
        </w:rPr>
      </w:pPr>
      <w:bookmarkStart w:id="465" w:name="_Toc105665291"/>
      <w:r>
        <w:rPr>
          <w:rFonts w:eastAsia="Times New Roman"/>
          <w:lang w:eastAsia="en-GB"/>
        </w:rPr>
        <w:lastRenderedPageBreak/>
        <w:t>Glossary</w:t>
      </w:r>
      <w:bookmarkEnd w:id="234"/>
      <w:bookmarkEnd w:id="465"/>
    </w:p>
    <w:p w:rsidR="005D0AC7" w:rsidRDefault="005D0AC7" w:rsidP="005D0AC7">
      <w:pPr>
        <w:rPr>
          <w:rFonts w:eastAsia="Times New Roman" w:cs="Times New Roman"/>
          <w:szCs w:val="24"/>
          <w:lang w:eastAsia="en-GB"/>
        </w:rPr>
      </w:pPr>
    </w:p>
    <w:tbl>
      <w:tblPr>
        <w:tblStyle w:val="TableGrid"/>
        <w:tblW w:w="9296"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96"/>
        <w:gridCol w:w="7600"/>
      </w:tblGrid>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rFonts w:eastAsia="Times New Roman" w:cs="Times New Roman"/>
                <w:szCs w:val="24"/>
                <w:lang w:eastAsia="en-GB"/>
              </w:rPr>
            </w:pPr>
            <w:r>
              <w:rPr>
                <w:szCs w:val="24"/>
                <w:lang w:eastAsia="en-GB"/>
              </w:rPr>
              <w:t>CCG</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Clinical Commissioning Group</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CT</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Computed Tomography.  An X-ray image made using a form of tomography – a moving x-ray source to build a 3 dimensional image of the body</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ED</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Emergency Department (formerly Accident &amp; Emergency or A&amp;E)</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EMAS</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East Midlands Ambulance Service</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EPIC</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Emergency Physician in Charge</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ETTF</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Estates, Technology, Transformation Fund</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FBC</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 xml:space="preserve">Full Business Case.  The FBC is the final of three business cases required for major capital projects.  It deals with securing the solution for the project in terms of procuring the best </w:t>
            </w:r>
            <w:proofErr w:type="spellStart"/>
            <w:r>
              <w:rPr>
                <w:szCs w:val="24"/>
                <w:lang w:eastAsia="en-GB"/>
              </w:rPr>
              <w:t>VfM</w:t>
            </w:r>
            <w:proofErr w:type="spellEnd"/>
            <w:r>
              <w:rPr>
                <w:szCs w:val="24"/>
                <w:lang w:eastAsia="en-GB"/>
              </w:rPr>
              <w:t xml:space="preserve"> solution, contracting the deal and ensuring successful delivery</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HBN</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Health Building Notes.  Produced by the Department of Health and Social Care these are a series of documents outlining best practice guidance for new healthcare buildings.  HBN 15-01 pertains to Emergency Departments</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LCHS</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Lincolnshire Community Health Services NHS Trust</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LPFT</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Lincolnshire Partnership NHS Foundation Trust</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Majors</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rFonts w:cs="Arial"/>
                <w:color w:val="222222"/>
                <w:szCs w:val="24"/>
                <w:shd w:val="clear" w:color="auto" w:fill="FFFFFF"/>
                <w:lang w:eastAsia="en-GB"/>
              </w:rPr>
              <w:t>Patients who exhibit signs of being seriously ill but are not in immediate danger of life or limb will be triaged to "</w:t>
            </w:r>
            <w:r>
              <w:rPr>
                <w:rFonts w:cs="Arial"/>
                <w:bCs/>
                <w:color w:val="222222"/>
                <w:szCs w:val="24"/>
                <w:shd w:val="clear" w:color="auto" w:fill="FFFFFF"/>
                <w:lang w:eastAsia="en-GB"/>
              </w:rPr>
              <w:t>majors</w:t>
            </w:r>
            <w:r>
              <w:rPr>
                <w:rFonts w:cs="Arial"/>
                <w:color w:val="222222"/>
                <w:szCs w:val="24"/>
                <w:shd w:val="clear" w:color="auto" w:fill="FFFFFF"/>
                <w:lang w:eastAsia="en-GB"/>
              </w:rPr>
              <w:t>"</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Minors</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Patients who need some investigation or treatment for an injury but are unlikely to be admitted</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NEWS</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rFonts w:cs="Arial"/>
                <w:color w:val="222222"/>
                <w:szCs w:val="24"/>
                <w:shd w:val="clear" w:color="auto" w:fill="FFFFFF"/>
                <w:lang w:eastAsia="en-GB"/>
              </w:rPr>
              <w:t>National Early Warning Score.  NEWS is a tool developed by the Royal College of Physicians which improves the detection and response to clinical deterioration in adult patients and is a key element of patient safety and improving patient outcomes</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OBC</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Outline Business Case.  The OBC is the second of three business cases required for major capital projects.  It plans out the scheme in terms of determining potential value for money, preparing for a potential deal, ascertaining affordability and funding requirements and planning for successful delivery</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ONS</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Office for National Statistics</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Primary Care Streaming</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A service operated by primary care alongside the ED.  Patients presenting with conditions suitable for GP surgeries are redirected from the ED to the streaming service</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RAT</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Rapid Assessment and Treatment</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proofErr w:type="spellStart"/>
            <w:r>
              <w:rPr>
                <w:szCs w:val="24"/>
                <w:lang w:eastAsia="en-GB"/>
              </w:rPr>
              <w:t>Resus</w:t>
            </w:r>
            <w:proofErr w:type="spellEnd"/>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rFonts w:cs="Arial"/>
                <w:color w:val="222222"/>
                <w:szCs w:val="24"/>
                <w:shd w:val="clear" w:color="auto" w:fill="FFFFFF"/>
                <w:lang w:eastAsia="en-GB"/>
              </w:rPr>
              <w:t>An area of the ED where people are taken if they need life-saving treatment immediately</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SDEC</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Same Day Emergency Care.  T</w:t>
            </w:r>
            <w:r>
              <w:rPr>
                <w:rFonts w:cs="Arial"/>
                <w:color w:val="222222"/>
                <w:szCs w:val="24"/>
                <w:shd w:val="clear" w:color="auto" w:fill="FFFFFF"/>
                <w:lang w:eastAsia="en-GB"/>
              </w:rPr>
              <w:t>he provision of same day care for emergency patients who would otherwise be admitted to hospital.</w:t>
            </w:r>
          </w:p>
        </w:tc>
      </w:tr>
      <w:tr w:rsidR="00C77883" w:rsidTr="005D0AC7">
        <w:tc>
          <w:tcPr>
            <w:tcW w:w="1696" w:type="dxa"/>
            <w:tcBorders>
              <w:top w:val="single" w:sz="4" w:space="0" w:color="BFBFBF"/>
              <w:left w:val="single" w:sz="4" w:space="0" w:color="BFBFBF"/>
              <w:bottom w:val="single" w:sz="4" w:space="0" w:color="BFBFBF"/>
              <w:right w:val="single" w:sz="4" w:space="0" w:color="BFBFBF"/>
            </w:tcBorders>
          </w:tcPr>
          <w:p w:rsidR="00C77883" w:rsidRDefault="00C77883">
            <w:pPr>
              <w:rPr>
                <w:szCs w:val="24"/>
                <w:lang w:eastAsia="en-GB"/>
              </w:rPr>
            </w:pPr>
            <w:r>
              <w:rPr>
                <w:szCs w:val="24"/>
                <w:lang w:eastAsia="en-GB"/>
              </w:rPr>
              <w:t>SDMP</w:t>
            </w:r>
          </w:p>
        </w:tc>
        <w:tc>
          <w:tcPr>
            <w:tcW w:w="7600" w:type="dxa"/>
            <w:tcBorders>
              <w:top w:val="single" w:sz="4" w:space="0" w:color="BFBFBF"/>
              <w:left w:val="single" w:sz="4" w:space="0" w:color="BFBFBF"/>
              <w:bottom w:val="single" w:sz="4" w:space="0" w:color="BFBFBF"/>
              <w:right w:val="single" w:sz="4" w:space="0" w:color="BFBFBF"/>
            </w:tcBorders>
          </w:tcPr>
          <w:p w:rsidR="00C77883" w:rsidRDefault="00C77883">
            <w:pPr>
              <w:jc w:val="both"/>
              <w:rPr>
                <w:szCs w:val="24"/>
                <w:lang w:eastAsia="en-GB"/>
              </w:rPr>
            </w:pPr>
            <w:r>
              <w:rPr>
                <w:szCs w:val="24"/>
                <w:lang w:eastAsia="en-GB"/>
              </w:rPr>
              <w:t>Sustainable Development Management Plan</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SOC</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Strategic Outline Case.  The SOC is the first of three business cases required for major capital projects.  It scopes the scheme in terms of the case for change and developing a preferred way forwards</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lastRenderedPageBreak/>
              <w:t>STP</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 xml:space="preserve">Sustainability and Transformation Partnership.  These areas were created all over England and </w:t>
            </w:r>
            <w:r>
              <w:rPr>
                <w:szCs w:val="24"/>
                <w:lang w:val="en-US" w:eastAsia="en-GB"/>
              </w:rPr>
              <w:t>bring local health and care leaders together to plan the long-term needs of local communities</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ULHT</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United Lincolnshire Hospitals NHS Trust</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r>
              <w:rPr>
                <w:szCs w:val="24"/>
                <w:lang w:eastAsia="en-GB"/>
              </w:rPr>
              <w:t>UTC</w:t>
            </w:r>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Urgent Treatment Centre</w:t>
            </w:r>
          </w:p>
        </w:tc>
      </w:tr>
      <w:tr w:rsidR="005D0AC7" w:rsidTr="005D0AC7">
        <w:tc>
          <w:tcPr>
            <w:tcW w:w="1696" w:type="dxa"/>
            <w:tcBorders>
              <w:top w:val="single" w:sz="4" w:space="0" w:color="BFBFBF"/>
              <w:left w:val="single" w:sz="4" w:space="0" w:color="BFBFBF"/>
              <w:bottom w:val="single" w:sz="4" w:space="0" w:color="BFBFBF"/>
              <w:right w:val="single" w:sz="4" w:space="0" w:color="BFBFBF"/>
            </w:tcBorders>
            <w:hideMark/>
          </w:tcPr>
          <w:p w:rsidR="005D0AC7" w:rsidRDefault="005D0AC7">
            <w:pPr>
              <w:rPr>
                <w:szCs w:val="24"/>
                <w:lang w:eastAsia="en-GB"/>
              </w:rPr>
            </w:pPr>
            <w:proofErr w:type="spellStart"/>
            <w:r>
              <w:rPr>
                <w:szCs w:val="24"/>
                <w:lang w:eastAsia="en-GB"/>
              </w:rPr>
              <w:t>VfM</w:t>
            </w:r>
            <w:proofErr w:type="spellEnd"/>
          </w:p>
        </w:tc>
        <w:tc>
          <w:tcPr>
            <w:tcW w:w="7600" w:type="dxa"/>
            <w:tcBorders>
              <w:top w:val="single" w:sz="4" w:space="0" w:color="BFBFBF"/>
              <w:left w:val="single" w:sz="4" w:space="0" w:color="BFBFBF"/>
              <w:bottom w:val="single" w:sz="4" w:space="0" w:color="BFBFBF"/>
              <w:right w:val="single" w:sz="4" w:space="0" w:color="BFBFBF"/>
            </w:tcBorders>
            <w:hideMark/>
          </w:tcPr>
          <w:p w:rsidR="005D0AC7" w:rsidRDefault="005D0AC7">
            <w:pPr>
              <w:jc w:val="both"/>
              <w:rPr>
                <w:szCs w:val="24"/>
                <w:lang w:eastAsia="en-GB"/>
              </w:rPr>
            </w:pPr>
            <w:r>
              <w:rPr>
                <w:szCs w:val="24"/>
                <w:lang w:eastAsia="en-GB"/>
              </w:rPr>
              <w:t>Value for Money</w:t>
            </w:r>
          </w:p>
        </w:tc>
      </w:tr>
    </w:tbl>
    <w:p w:rsidR="005D0AC7" w:rsidRDefault="005D0AC7" w:rsidP="005D0AC7">
      <w:pPr>
        <w:rPr>
          <w:rFonts w:eastAsia="Times New Roman" w:cs="Times New Roman"/>
          <w:szCs w:val="24"/>
          <w:lang w:eastAsia="en-GB"/>
        </w:rPr>
      </w:pPr>
    </w:p>
    <w:p w:rsidR="005D0AC7" w:rsidRPr="00A23B1B" w:rsidRDefault="005D0AC7" w:rsidP="005D0AC7">
      <w:pPr>
        <w:tabs>
          <w:tab w:val="center" w:pos="4680"/>
          <w:tab w:val="right" w:pos="9360"/>
        </w:tabs>
        <w:rPr>
          <w:lang w:eastAsia="en-GB"/>
        </w:rPr>
      </w:pPr>
    </w:p>
    <w:sectPr w:rsidR="005D0AC7" w:rsidRPr="00A23B1B" w:rsidSect="00066DE9">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36A14" w:rsidRDefault="00336A14" w:rsidP="006C1BBC">
      <w:r>
        <w:separator/>
      </w:r>
    </w:p>
  </w:endnote>
  <w:endnote w:type="continuationSeparator" w:id="0">
    <w:p w:rsidR="00336A14" w:rsidRDefault="00336A14" w:rsidP="006C1B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Perpetua">
    <w:panose1 w:val="02020502060401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47546364"/>
      <w:docPartObj>
        <w:docPartGallery w:val="Page Numbers (Bottom of Page)"/>
        <w:docPartUnique/>
      </w:docPartObj>
    </w:sdtPr>
    <w:sdtEndPr>
      <w:rPr>
        <w:noProof/>
      </w:rPr>
    </w:sdtEndPr>
    <w:sdtContent>
      <w:p w:rsidR="00336A14" w:rsidRDefault="00336A14">
        <w:pPr>
          <w:pStyle w:val="Footer"/>
          <w:jc w:val="right"/>
        </w:pPr>
        <w:r>
          <w:fldChar w:fldCharType="begin"/>
        </w:r>
        <w:r>
          <w:instrText xml:space="preserve"> PAGE   \* MERGEFORMAT </w:instrText>
        </w:r>
        <w:r>
          <w:fldChar w:fldCharType="separate"/>
        </w:r>
        <w:r w:rsidR="004E77B4">
          <w:rPr>
            <w:noProof/>
          </w:rPr>
          <w:t>2</w:t>
        </w:r>
        <w:r>
          <w:rPr>
            <w:noProof/>
          </w:rPr>
          <w:fldChar w:fldCharType="end"/>
        </w:r>
      </w:p>
    </w:sdtContent>
  </w:sdt>
  <w:p w:rsidR="00336A14" w:rsidRDefault="00336A1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36A14" w:rsidRDefault="00336A14" w:rsidP="006C1BBC">
      <w:r>
        <w:separator/>
      </w:r>
    </w:p>
  </w:footnote>
  <w:footnote w:type="continuationSeparator" w:id="0">
    <w:p w:rsidR="00336A14" w:rsidRDefault="00336A14" w:rsidP="006C1BB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B6681"/>
    <w:multiLevelType w:val="hybridMultilevel"/>
    <w:tmpl w:val="3E2EC53A"/>
    <w:lvl w:ilvl="0" w:tplc="08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0487E4E"/>
    <w:multiLevelType w:val="hybridMultilevel"/>
    <w:tmpl w:val="AE64B1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00E87B3E"/>
    <w:multiLevelType w:val="hybridMultilevel"/>
    <w:tmpl w:val="AD8C7E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01833449"/>
    <w:multiLevelType w:val="hybridMultilevel"/>
    <w:tmpl w:val="F30CD694"/>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4" w15:restartNumberingAfterBreak="0">
    <w:nsid w:val="01DD3BB0"/>
    <w:multiLevelType w:val="hybridMultilevel"/>
    <w:tmpl w:val="9C4EE2C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 w15:restartNumberingAfterBreak="0">
    <w:nsid w:val="02A06EE5"/>
    <w:multiLevelType w:val="hybridMultilevel"/>
    <w:tmpl w:val="362A4B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02E7746F"/>
    <w:multiLevelType w:val="hybridMultilevel"/>
    <w:tmpl w:val="13B6B340"/>
    <w:lvl w:ilvl="0" w:tplc="08090001">
      <w:start w:val="1"/>
      <w:numFmt w:val="bullet"/>
      <w:lvlText w:val=""/>
      <w:lvlJc w:val="left"/>
      <w:pPr>
        <w:ind w:left="360" w:hanging="360"/>
      </w:pPr>
      <w:rPr>
        <w:rFonts w:ascii="Symbol" w:hAnsi="Symbol" w:hint="default"/>
        <w:b w:val="0"/>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030166A0"/>
    <w:multiLevelType w:val="hybridMultilevel"/>
    <w:tmpl w:val="CDE8CB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03057C3A"/>
    <w:multiLevelType w:val="hybridMultilevel"/>
    <w:tmpl w:val="1C147E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03657B1C"/>
    <w:multiLevelType w:val="hybridMultilevel"/>
    <w:tmpl w:val="572479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05DD18EE"/>
    <w:multiLevelType w:val="hybridMultilevel"/>
    <w:tmpl w:val="30489DF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06E81553"/>
    <w:multiLevelType w:val="hybridMultilevel"/>
    <w:tmpl w:val="ABCAE5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081661EB"/>
    <w:multiLevelType w:val="hybridMultilevel"/>
    <w:tmpl w:val="8B6C3D18"/>
    <w:lvl w:ilvl="0" w:tplc="E40A04C6">
      <w:start w:val="1"/>
      <w:numFmt w:val="decimal"/>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BD22852"/>
    <w:multiLevelType w:val="hybridMultilevel"/>
    <w:tmpl w:val="1646F0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0BF975A9"/>
    <w:multiLevelType w:val="hybridMultilevel"/>
    <w:tmpl w:val="0494F0DC"/>
    <w:lvl w:ilvl="0" w:tplc="A5B0C0A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E864AF3"/>
    <w:multiLevelType w:val="hybridMultilevel"/>
    <w:tmpl w:val="8B6C3D18"/>
    <w:lvl w:ilvl="0" w:tplc="E40A04C6">
      <w:start w:val="1"/>
      <w:numFmt w:val="decimal"/>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F667115"/>
    <w:multiLevelType w:val="hybridMultilevel"/>
    <w:tmpl w:val="1F4C0E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106B7BDA"/>
    <w:multiLevelType w:val="hybridMultilevel"/>
    <w:tmpl w:val="13249296"/>
    <w:lvl w:ilvl="0" w:tplc="712AD9E8">
      <w:start w:val="1"/>
      <w:numFmt w:val="decimal"/>
      <w:lvlText w:val="%1"/>
      <w:lvlJc w:val="left"/>
      <w:pPr>
        <w:ind w:left="786" w:hanging="360"/>
      </w:pPr>
      <w:rPr>
        <w:color w:val="auto"/>
        <w:sz w:val="22"/>
      </w:rPr>
    </w:lvl>
    <w:lvl w:ilvl="1" w:tplc="08090019">
      <w:start w:val="1"/>
      <w:numFmt w:val="lowerLetter"/>
      <w:lvlText w:val="%2."/>
      <w:lvlJc w:val="left"/>
      <w:pPr>
        <w:ind w:left="1506" w:hanging="360"/>
      </w:pPr>
    </w:lvl>
    <w:lvl w:ilvl="2" w:tplc="0809001B">
      <w:start w:val="1"/>
      <w:numFmt w:val="lowerRoman"/>
      <w:lvlText w:val="%3."/>
      <w:lvlJc w:val="right"/>
      <w:pPr>
        <w:ind w:left="2226" w:hanging="180"/>
      </w:pPr>
    </w:lvl>
    <w:lvl w:ilvl="3" w:tplc="0809000F">
      <w:start w:val="1"/>
      <w:numFmt w:val="decimal"/>
      <w:lvlText w:val="%4."/>
      <w:lvlJc w:val="left"/>
      <w:pPr>
        <w:ind w:left="2946" w:hanging="360"/>
      </w:pPr>
    </w:lvl>
    <w:lvl w:ilvl="4" w:tplc="08090019">
      <w:start w:val="1"/>
      <w:numFmt w:val="lowerLetter"/>
      <w:lvlText w:val="%5."/>
      <w:lvlJc w:val="left"/>
      <w:pPr>
        <w:ind w:left="3666" w:hanging="360"/>
      </w:pPr>
    </w:lvl>
    <w:lvl w:ilvl="5" w:tplc="0809001B">
      <w:start w:val="1"/>
      <w:numFmt w:val="lowerRoman"/>
      <w:lvlText w:val="%6."/>
      <w:lvlJc w:val="right"/>
      <w:pPr>
        <w:ind w:left="4386" w:hanging="180"/>
      </w:pPr>
    </w:lvl>
    <w:lvl w:ilvl="6" w:tplc="0809000F">
      <w:start w:val="1"/>
      <w:numFmt w:val="decimal"/>
      <w:lvlText w:val="%7."/>
      <w:lvlJc w:val="left"/>
      <w:pPr>
        <w:ind w:left="5106" w:hanging="360"/>
      </w:pPr>
    </w:lvl>
    <w:lvl w:ilvl="7" w:tplc="08090019">
      <w:start w:val="1"/>
      <w:numFmt w:val="lowerLetter"/>
      <w:lvlText w:val="%8."/>
      <w:lvlJc w:val="left"/>
      <w:pPr>
        <w:ind w:left="5826" w:hanging="360"/>
      </w:pPr>
    </w:lvl>
    <w:lvl w:ilvl="8" w:tplc="0809001B">
      <w:start w:val="1"/>
      <w:numFmt w:val="lowerRoman"/>
      <w:lvlText w:val="%9."/>
      <w:lvlJc w:val="right"/>
      <w:pPr>
        <w:ind w:left="6546" w:hanging="180"/>
      </w:pPr>
    </w:lvl>
  </w:abstractNum>
  <w:abstractNum w:abstractNumId="18" w15:restartNumberingAfterBreak="0">
    <w:nsid w:val="12F14BA8"/>
    <w:multiLevelType w:val="hybridMultilevel"/>
    <w:tmpl w:val="B20E6698"/>
    <w:lvl w:ilvl="0" w:tplc="0D3CFFE6">
      <w:start w:val="1"/>
      <w:numFmt w:val="decimal"/>
      <w:lvlText w:val="%1."/>
      <w:lvlJc w:val="left"/>
      <w:pPr>
        <w:tabs>
          <w:tab w:val="num" w:pos="786"/>
        </w:tabs>
        <w:ind w:left="567" w:hanging="567"/>
      </w:pPr>
    </w:lvl>
    <w:lvl w:ilvl="1" w:tplc="3864BBD8">
      <w:start w:val="1"/>
      <w:numFmt w:val="decimal"/>
      <w:lvlText w:val="%2."/>
      <w:lvlJc w:val="left"/>
      <w:pPr>
        <w:tabs>
          <w:tab w:val="num" w:pos="1506"/>
        </w:tabs>
        <w:ind w:left="1506" w:hanging="360"/>
      </w:pPr>
    </w:lvl>
    <w:lvl w:ilvl="2" w:tplc="E9808824">
      <w:start w:val="1"/>
      <w:numFmt w:val="decimal"/>
      <w:lvlText w:val="%3."/>
      <w:lvlJc w:val="left"/>
      <w:pPr>
        <w:tabs>
          <w:tab w:val="num" w:pos="2226"/>
        </w:tabs>
        <w:ind w:left="2226" w:hanging="360"/>
      </w:pPr>
    </w:lvl>
    <w:lvl w:ilvl="3" w:tplc="2FB4758A">
      <w:start w:val="1"/>
      <w:numFmt w:val="decimal"/>
      <w:lvlText w:val="%4."/>
      <w:lvlJc w:val="left"/>
      <w:pPr>
        <w:tabs>
          <w:tab w:val="num" w:pos="2946"/>
        </w:tabs>
        <w:ind w:left="2946" w:hanging="360"/>
      </w:pPr>
    </w:lvl>
    <w:lvl w:ilvl="4" w:tplc="8CE831D4">
      <w:start w:val="1"/>
      <w:numFmt w:val="decimal"/>
      <w:lvlText w:val="%5."/>
      <w:lvlJc w:val="left"/>
      <w:pPr>
        <w:tabs>
          <w:tab w:val="num" w:pos="3666"/>
        </w:tabs>
        <w:ind w:left="3666" w:hanging="360"/>
      </w:pPr>
    </w:lvl>
    <w:lvl w:ilvl="5" w:tplc="D7929ADA">
      <w:start w:val="1"/>
      <w:numFmt w:val="decimal"/>
      <w:lvlText w:val="%6."/>
      <w:lvlJc w:val="left"/>
      <w:pPr>
        <w:tabs>
          <w:tab w:val="num" w:pos="4386"/>
        </w:tabs>
        <w:ind w:left="4386" w:hanging="360"/>
      </w:pPr>
    </w:lvl>
    <w:lvl w:ilvl="6" w:tplc="32508A1A">
      <w:start w:val="1"/>
      <w:numFmt w:val="decimal"/>
      <w:lvlText w:val="%7."/>
      <w:lvlJc w:val="left"/>
      <w:pPr>
        <w:tabs>
          <w:tab w:val="num" w:pos="5106"/>
        </w:tabs>
        <w:ind w:left="5106" w:hanging="360"/>
      </w:pPr>
    </w:lvl>
    <w:lvl w:ilvl="7" w:tplc="67801244">
      <w:start w:val="1"/>
      <w:numFmt w:val="decimal"/>
      <w:lvlText w:val="%8."/>
      <w:lvlJc w:val="left"/>
      <w:pPr>
        <w:tabs>
          <w:tab w:val="num" w:pos="5826"/>
        </w:tabs>
        <w:ind w:left="5826" w:hanging="360"/>
      </w:pPr>
    </w:lvl>
    <w:lvl w:ilvl="8" w:tplc="2BC0AD8C">
      <w:start w:val="1"/>
      <w:numFmt w:val="decimal"/>
      <w:lvlText w:val="%9."/>
      <w:lvlJc w:val="left"/>
      <w:pPr>
        <w:tabs>
          <w:tab w:val="num" w:pos="6546"/>
        </w:tabs>
        <w:ind w:left="6546" w:hanging="360"/>
      </w:pPr>
    </w:lvl>
  </w:abstractNum>
  <w:abstractNum w:abstractNumId="19" w15:restartNumberingAfterBreak="0">
    <w:nsid w:val="13C52FF3"/>
    <w:multiLevelType w:val="hybridMultilevel"/>
    <w:tmpl w:val="87AC4AF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1411795F"/>
    <w:multiLevelType w:val="hybridMultilevel"/>
    <w:tmpl w:val="064CF58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149B3F10"/>
    <w:multiLevelType w:val="hybridMultilevel"/>
    <w:tmpl w:val="F8FCA714"/>
    <w:lvl w:ilvl="0" w:tplc="306AA006">
      <w:start w:val="1"/>
      <w:numFmt w:val="bullet"/>
      <w:lvlText w:val=""/>
      <w:lvlJc w:val="left"/>
      <w:pPr>
        <w:ind w:left="2138" w:hanging="360"/>
      </w:pPr>
      <w:rPr>
        <w:rFonts w:ascii="Wingdings" w:hAnsi="Wingdings" w:hint="default"/>
      </w:rPr>
    </w:lvl>
    <w:lvl w:ilvl="1" w:tplc="08090003">
      <w:start w:val="1"/>
      <w:numFmt w:val="bullet"/>
      <w:lvlText w:val="o"/>
      <w:lvlJc w:val="left"/>
      <w:pPr>
        <w:ind w:left="2858" w:hanging="360"/>
      </w:pPr>
      <w:rPr>
        <w:rFonts w:ascii="Courier New" w:hAnsi="Courier New" w:cs="Courier New" w:hint="default"/>
      </w:rPr>
    </w:lvl>
    <w:lvl w:ilvl="2" w:tplc="08090005">
      <w:start w:val="1"/>
      <w:numFmt w:val="bullet"/>
      <w:lvlText w:val=""/>
      <w:lvlJc w:val="left"/>
      <w:pPr>
        <w:ind w:left="3578" w:hanging="360"/>
      </w:pPr>
      <w:rPr>
        <w:rFonts w:ascii="Wingdings" w:hAnsi="Wingdings" w:hint="default"/>
      </w:rPr>
    </w:lvl>
    <w:lvl w:ilvl="3" w:tplc="08090001">
      <w:start w:val="1"/>
      <w:numFmt w:val="bullet"/>
      <w:lvlText w:val=""/>
      <w:lvlJc w:val="left"/>
      <w:pPr>
        <w:ind w:left="4298" w:hanging="360"/>
      </w:pPr>
      <w:rPr>
        <w:rFonts w:ascii="Symbol" w:hAnsi="Symbol" w:hint="default"/>
      </w:rPr>
    </w:lvl>
    <w:lvl w:ilvl="4" w:tplc="08090003">
      <w:start w:val="1"/>
      <w:numFmt w:val="bullet"/>
      <w:lvlText w:val="o"/>
      <w:lvlJc w:val="left"/>
      <w:pPr>
        <w:ind w:left="5018" w:hanging="360"/>
      </w:pPr>
      <w:rPr>
        <w:rFonts w:ascii="Courier New" w:hAnsi="Courier New" w:cs="Courier New" w:hint="default"/>
      </w:rPr>
    </w:lvl>
    <w:lvl w:ilvl="5" w:tplc="08090005">
      <w:start w:val="1"/>
      <w:numFmt w:val="bullet"/>
      <w:lvlText w:val=""/>
      <w:lvlJc w:val="left"/>
      <w:pPr>
        <w:ind w:left="5738" w:hanging="360"/>
      </w:pPr>
      <w:rPr>
        <w:rFonts w:ascii="Wingdings" w:hAnsi="Wingdings" w:hint="default"/>
      </w:rPr>
    </w:lvl>
    <w:lvl w:ilvl="6" w:tplc="08090001">
      <w:start w:val="1"/>
      <w:numFmt w:val="bullet"/>
      <w:lvlText w:val=""/>
      <w:lvlJc w:val="left"/>
      <w:pPr>
        <w:ind w:left="6458" w:hanging="360"/>
      </w:pPr>
      <w:rPr>
        <w:rFonts w:ascii="Symbol" w:hAnsi="Symbol" w:hint="default"/>
      </w:rPr>
    </w:lvl>
    <w:lvl w:ilvl="7" w:tplc="08090003">
      <w:start w:val="1"/>
      <w:numFmt w:val="bullet"/>
      <w:lvlText w:val="o"/>
      <w:lvlJc w:val="left"/>
      <w:pPr>
        <w:ind w:left="7178" w:hanging="360"/>
      </w:pPr>
      <w:rPr>
        <w:rFonts w:ascii="Courier New" w:hAnsi="Courier New" w:cs="Courier New" w:hint="default"/>
      </w:rPr>
    </w:lvl>
    <w:lvl w:ilvl="8" w:tplc="08090005">
      <w:start w:val="1"/>
      <w:numFmt w:val="bullet"/>
      <w:lvlText w:val=""/>
      <w:lvlJc w:val="left"/>
      <w:pPr>
        <w:ind w:left="7898" w:hanging="360"/>
      </w:pPr>
      <w:rPr>
        <w:rFonts w:ascii="Wingdings" w:hAnsi="Wingdings" w:hint="default"/>
      </w:rPr>
    </w:lvl>
  </w:abstractNum>
  <w:abstractNum w:abstractNumId="22" w15:restartNumberingAfterBreak="0">
    <w:nsid w:val="156F7719"/>
    <w:multiLevelType w:val="hybridMultilevel"/>
    <w:tmpl w:val="F7320598"/>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3" w15:restartNumberingAfterBreak="0">
    <w:nsid w:val="173B62D3"/>
    <w:multiLevelType w:val="hybridMultilevel"/>
    <w:tmpl w:val="115A18B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17567553"/>
    <w:multiLevelType w:val="hybridMultilevel"/>
    <w:tmpl w:val="3AE23B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1A8212EA"/>
    <w:multiLevelType w:val="hybridMultilevel"/>
    <w:tmpl w:val="8AFC748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15:restartNumberingAfterBreak="0">
    <w:nsid w:val="1CB6384B"/>
    <w:multiLevelType w:val="hybridMultilevel"/>
    <w:tmpl w:val="A7E0C1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1D6B4C36"/>
    <w:multiLevelType w:val="hybridMultilevel"/>
    <w:tmpl w:val="F39A00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1D8C3050"/>
    <w:multiLevelType w:val="hybridMultilevel"/>
    <w:tmpl w:val="3A2645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1E822884"/>
    <w:multiLevelType w:val="hybridMultilevel"/>
    <w:tmpl w:val="F552D8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1EE145E1"/>
    <w:multiLevelType w:val="hybridMultilevel"/>
    <w:tmpl w:val="1A208C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21B72749"/>
    <w:multiLevelType w:val="hybridMultilevel"/>
    <w:tmpl w:val="85601ADE"/>
    <w:lvl w:ilvl="0" w:tplc="08090001">
      <w:start w:val="1"/>
      <w:numFmt w:val="bullet"/>
      <w:lvlText w:val=""/>
      <w:lvlJc w:val="left"/>
      <w:pPr>
        <w:ind w:left="786" w:hanging="360"/>
      </w:pPr>
      <w:rPr>
        <w:rFonts w:ascii="Symbol" w:hAnsi="Symbol" w:hint="default"/>
      </w:rPr>
    </w:lvl>
    <w:lvl w:ilvl="1" w:tplc="08090003">
      <w:start w:val="1"/>
      <w:numFmt w:val="bullet"/>
      <w:lvlText w:val="o"/>
      <w:lvlJc w:val="left"/>
      <w:pPr>
        <w:ind w:left="1506" w:hanging="360"/>
      </w:pPr>
      <w:rPr>
        <w:rFonts w:ascii="Courier New" w:hAnsi="Courier New" w:cs="Courier New" w:hint="default"/>
      </w:rPr>
    </w:lvl>
    <w:lvl w:ilvl="2" w:tplc="08090005">
      <w:start w:val="1"/>
      <w:numFmt w:val="bullet"/>
      <w:lvlText w:val=""/>
      <w:lvlJc w:val="left"/>
      <w:pPr>
        <w:ind w:left="2226" w:hanging="360"/>
      </w:pPr>
      <w:rPr>
        <w:rFonts w:ascii="Wingdings" w:hAnsi="Wingdings" w:hint="default"/>
      </w:rPr>
    </w:lvl>
    <w:lvl w:ilvl="3" w:tplc="08090001">
      <w:start w:val="1"/>
      <w:numFmt w:val="bullet"/>
      <w:lvlText w:val=""/>
      <w:lvlJc w:val="left"/>
      <w:pPr>
        <w:ind w:left="2946" w:hanging="360"/>
      </w:pPr>
      <w:rPr>
        <w:rFonts w:ascii="Symbol" w:hAnsi="Symbol" w:hint="default"/>
      </w:rPr>
    </w:lvl>
    <w:lvl w:ilvl="4" w:tplc="08090003">
      <w:start w:val="1"/>
      <w:numFmt w:val="bullet"/>
      <w:lvlText w:val="o"/>
      <w:lvlJc w:val="left"/>
      <w:pPr>
        <w:ind w:left="3666" w:hanging="360"/>
      </w:pPr>
      <w:rPr>
        <w:rFonts w:ascii="Courier New" w:hAnsi="Courier New" w:cs="Courier New" w:hint="default"/>
      </w:rPr>
    </w:lvl>
    <w:lvl w:ilvl="5" w:tplc="08090005">
      <w:start w:val="1"/>
      <w:numFmt w:val="bullet"/>
      <w:lvlText w:val=""/>
      <w:lvlJc w:val="left"/>
      <w:pPr>
        <w:ind w:left="4386" w:hanging="360"/>
      </w:pPr>
      <w:rPr>
        <w:rFonts w:ascii="Wingdings" w:hAnsi="Wingdings" w:hint="default"/>
      </w:rPr>
    </w:lvl>
    <w:lvl w:ilvl="6" w:tplc="08090001">
      <w:start w:val="1"/>
      <w:numFmt w:val="bullet"/>
      <w:lvlText w:val=""/>
      <w:lvlJc w:val="left"/>
      <w:pPr>
        <w:ind w:left="5106" w:hanging="360"/>
      </w:pPr>
      <w:rPr>
        <w:rFonts w:ascii="Symbol" w:hAnsi="Symbol" w:hint="default"/>
      </w:rPr>
    </w:lvl>
    <w:lvl w:ilvl="7" w:tplc="08090003">
      <w:start w:val="1"/>
      <w:numFmt w:val="bullet"/>
      <w:lvlText w:val="o"/>
      <w:lvlJc w:val="left"/>
      <w:pPr>
        <w:ind w:left="5826" w:hanging="360"/>
      </w:pPr>
      <w:rPr>
        <w:rFonts w:ascii="Courier New" w:hAnsi="Courier New" w:cs="Courier New" w:hint="default"/>
      </w:rPr>
    </w:lvl>
    <w:lvl w:ilvl="8" w:tplc="08090005">
      <w:start w:val="1"/>
      <w:numFmt w:val="bullet"/>
      <w:lvlText w:val=""/>
      <w:lvlJc w:val="left"/>
      <w:pPr>
        <w:ind w:left="6546" w:hanging="360"/>
      </w:pPr>
      <w:rPr>
        <w:rFonts w:ascii="Wingdings" w:hAnsi="Wingdings" w:hint="default"/>
      </w:rPr>
    </w:lvl>
  </w:abstractNum>
  <w:abstractNum w:abstractNumId="32" w15:restartNumberingAfterBreak="0">
    <w:nsid w:val="22C06A50"/>
    <w:multiLevelType w:val="hybridMultilevel"/>
    <w:tmpl w:val="A1B645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 w15:restartNumberingAfterBreak="0">
    <w:nsid w:val="23827724"/>
    <w:multiLevelType w:val="hybridMultilevel"/>
    <w:tmpl w:val="E836277C"/>
    <w:lvl w:ilvl="0" w:tplc="91A4D4D8">
      <w:start w:val="1"/>
      <w:numFmt w:val="bullet"/>
      <w:lvlText w:val=""/>
      <w:lvlJc w:val="left"/>
      <w:pPr>
        <w:ind w:left="567" w:hanging="567"/>
      </w:pPr>
      <w:rPr>
        <w:rFonts w:ascii="Symbol" w:hAnsi="Symbol" w:hint="default"/>
        <w:color w:val="033F85"/>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255912FD"/>
    <w:multiLevelType w:val="hybridMultilevel"/>
    <w:tmpl w:val="713ED4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25AD187A"/>
    <w:multiLevelType w:val="hybridMultilevel"/>
    <w:tmpl w:val="F0F2F304"/>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6" w15:restartNumberingAfterBreak="0">
    <w:nsid w:val="283E060E"/>
    <w:multiLevelType w:val="hybridMultilevel"/>
    <w:tmpl w:val="B9BE6290"/>
    <w:lvl w:ilvl="0" w:tplc="04687144">
      <w:start w:val="8"/>
      <w:numFmt w:val="decimal"/>
      <w:lvlText w:val="%1."/>
      <w:lvlJc w:val="left"/>
      <w:pPr>
        <w:ind w:left="717" w:hanging="360"/>
      </w:pPr>
    </w:lvl>
    <w:lvl w:ilvl="1" w:tplc="08090019">
      <w:start w:val="1"/>
      <w:numFmt w:val="lowerLetter"/>
      <w:lvlText w:val="%2."/>
      <w:lvlJc w:val="left"/>
      <w:pPr>
        <w:ind w:left="1437" w:hanging="360"/>
      </w:pPr>
    </w:lvl>
    <w:lvl w:ilvl="2" w:tplc="0809001B">
      <w:start w:val="1"/>
      <w:numFmt w:val="lowerRoman"/>
      <w:lvlText w:val="%3."/>
      <w:lvlJc w:val="right"/>
      <w:pPr>
        <w:ind w:left="2157" w:hanging="180"/>
      </w:pPr>
    </w:lvl>
    <w:lvl w:ilvl="3" w:tplc="0809000F">
      <w:start w:val="1"/>
      <w:numFmt w:val="decimal"/>
      <w:lvlText w:val="%4."/>
      <w:lvlJc w:val="left"/>
      <w:pPr>
        <w:ind w:left="2877" w:hanging="360"/>
      </w:pPr>
    </w:lvl>
    <w:lvl w:ilvl="4" w:tplc="08090019">
      <w:start w:val="1"/>
      <w:numFmt w:val="lowerLetter"/>
      <w:lvlText w:val="%5."/>
      <w:lvlJc w:val="left"/>
      <w:pPr>
        <w:ind w:left="3597" w:hanging="360"/>
      </w:pPr>
    </w:lvl>
    <w:lvl w:ilvl="5" w:tplc="0809001B">
      <w:start w:val="1"/>
      <w:numFmt w:val="lowerRoman"/>
      <w:lvlText w:val="%6."/>
      <w:lvlJc w:val="right"/>
      <w:pPr>
        <w:ind w:left="4317" w:hanging="180"/>
      </w:pPr>
    </w:lvl>
    <w:lvl w:ilvl="6" w:tplc="0809000F">
      <w:start w:val="1"/>
      <w:numFmt w:val="decimal"/>
      <w:lvlText w:val="%7."/>
      <w:lvlJc w:val="left"/>
      <w:pPr>
        <w:ind w:left="5037" w:hanging="360"/>
      </w:pPr>
    </w:lvl>
    <w:lvl w:ilvl="7" w:tplc="08090019">
      <w:start w:val="1"/>
      <w:numFmt w:val="lowerLetter"/>
      <w:lvlText w:val="%8."/>
      <w:lvlJc w:val="left"/>
      <w:pPr>
        <w:ind w:left="5757" w:hanging="360"/>
      </w:pPr>
    </w:lvl>
    <w:lvl w:ilvl="8" w:tplc="0809001B">
      <w:start w:val="1"/>
      <w:numFmt w:val="lowerRoman"/>
      <w:lvlText w:val="%9."/>
      <w:lvlJc w:val="right"/>
      <w:pPr>
        <w:ind w:left="6477" w:hanging="180"/>
      </w:pPr>
    </w:lvl>
  </w:abstractNum>
  <w:abstractNum w:abstractNumId="37" w15:restartNumberingAfterBreak="0">
    <w:nsid w:val="297E7D59"/>
    <w:multiLevelType w:val="hybridMultilevel"/>
    <w:tmpl w:val="D7904324"/>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38" w15:restartNumberingAfterBreak="0">
    <w:nsid w:val="2B9B1D05"/>
    <w:multiLevelType w:val="hybridMultilevel"/>
    <w:tmpl w:val="F5B0E9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2CFF6BD7"/>
    <w:multiLevelType w:val="hybridMultilevel"/>
    <w:tmpl w:val="2542A26A"/>
    <w:lvl w:ilvl="0" w:tplc="4C1A083A">
      <w:start w:val="1"/>
      <w:numFmt w:val="decimal"/>
      <w:lvlText w:val="%1."/>
      <w:lvlJc w:val="left"/>
      <w:pPr>
        <w:ind w:left="360" w:hanging="360"/>
      </w:pPr>
      <w:rPr>
        <w:b/>
        <w:i w:val="0"/>
        <w:sz w:val="24"/>
      </w:rPr>
    </w:lvl>
    <w:lvl w:ilvl="1" w:tplc="971234F4">
      <w:start w:val="1"/>
      <w:numFmt w:val="decimal"/>
      <w:lvlText w:val="%2"/>
      <w:lvlJc w:val="left"/>
      <w:pPr>
        <w:ind w:left="1080" w:hanging="360"/>
      </w:pPr>
      <w:rPr>
        <w:b/>
        <w:i w:val="0"/>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0" w15:restartNumberingAfterBreak="0">
    <w:nsid w:val="2DEE402A"/>
    <w:multiLevelType w:val="hybridMultilevel"/>
    <w:tmpl w:val="996E7B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15:restartNumberingAfterBreak="0">
    <w:nsid w:val="2FA17EF4"/>
    <w:multiLevelType w:val="hybridMultilevel"/>
    <w:tmpl w:val="42F4F88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 w15:restartNumberingAfterBreak="0">
    <w:nsid w:val="2FDB154A"/>
    <w:multiLevelType w:val="hybridMultilevel"/>
    <w:tmpl w:val="CF7AFC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 w15:restartNumberingAfterBreak="0">
    <w:nsid w:val="315E334E"/>
    <w:multiLevelType w:val="hybridMultilevel"/>
    <w:tmpl w:val="D834FC8A"/>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4" w15:restartNumberingAfterBreak="0">
    <w:nsid w:val="31653CC7"/>
    <w:multiLevelType w:val="hybridMultilevel"/>
    <w:tmpl w:val="B9E897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5" w15:restartNumberingAfterBreak="0">
    <w:nsid w:val="337D06B6"/>
    <w:multiLevelType w:val="hybridMultilevel"/>
    <w:tmpl w:val="FFCAB67C"/>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6" w15:restartNumberingAfterBreak="0">
    <w:nsid w:val="34FD7D1F"/>
    <w:multiLevelType w:val="hybridMultilevel"/>
    <w:tmpl w:val="466874B0"/>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7" w15:restartNumberingAfterBreak="0">
    <w:nsid w:val="35344E99"/>
    <w:multiLevelType w:val="hybridMultilevel"/>
    <w:tmpl w:val="237CA93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Times New Roman"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Times New Roman"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Times New Roman" w:hint="default"/>
      </w:rPr>
    </w:lvl>
    <w:lvl w:ilvl="8" w:tplc="08090005">
      <w:start w:val="1"/>
      <w:numFmt w:val="bullet"/>
      <w:lvlText w:val=""/>
      <w:lvlJc w:val="left"/>
      <w:pPr>
        <w:ind w:left="6840" w:hanging="360"/>
      </w:pPr>
      <w:rPr>
        <w:rFonts w:ascii="Wingdings" w:hAnsi="Wingdings" w:hint="default"/>
      </w:rPr>
    </w:lvl>
  </w:abstractNum>
  <w:abstractNum w:abstractNumId="48" w15:restartNumberingAfterBreak="0">
    <w:nsid w:val="35623304"/>
    <w:multiLevelType w:val="multilevel"/>
    <w:tmpl w:val="74507A70"/>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6EE7E81"/>
    <w:multiLevelType w:val="hybridMultilevel"/>
    <w:tmpl w:val="DDEC21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38281893"/>
    <w:multiLevelType w:val="hybridMultilevel"/>
    <w:tmpl w:val="F9025D22"/>
    <w:lvl w:ilvl="0" w:tplc="08090001">
      <w:start w:val="1"/>
      <w:numFmt w:val="bullet"/>
      <w:lvlText w:val=""/>
      <w:lvlJc w:val="left"/>
      <w:pPr>
        <w:ind w:left="783" w:hanging="360"/>
      </w:pPr>
      <w:rPr>
        <w:rFonts w:ascii="Symbol" w:hAnsi="Symbol" w:hint="default"/>
      </w:rPr>
    </w:lvl>
    <w:lvl w:ilvl="1" w:tplc="08090003">
      <w:start w:val="1"/>
      <w:numFmt w:val="bullet"/>
      <w:lvlText w:val="o"/>
      <w:lvlJc w:val="left"/>
      <w:pPr>
        <w:ind w:left="1503" w:hanging="360"/>
      </w:pPr>
      <w:rPr>
        <w:rFonts w:ascii="Courier New" w:hAnsi="Courier New" w:cs="Courier New" w:hint="default"/>
      </w:rPr>
    </w:lvl>
    <w:lvl w:ilvl="2" w:tplc="08090005">
      <w:start w:val="1"/>
      <w:numFmt w:val="bullet"/>
      <w:lvlText w:val=""/>
      <w:lvlJc w:val="left"/>
      <w:pPr>
        <w:ind w:left="2223" w:hanging="360"/>
      </w:pPr>
      <w:rPr>
        <w:rFonts w:ascii="Wingdings" w:hAnsi="Wingdings" w:hint="default"/>
      </w:rPr>
    </w:lvl>
    <w:lvl w:ilvl="3" w:tplc="08090001">
      <w:start w:val="1"/>
      <w:numFmt w:val="bullet"/>
      <w:lvlText w:val=""/>
      <w:lvlJc w:val="left"/>
      <w:pPr>
        <w:ind w:left="2943" w:hanging="360"/>
      </w:pPr>
      <w:rPr>
        <w:rFonts w:ascii="Symbol" w:hAnsi="Symbol" w:hint="default"/>
      </w:rPr>
    </w:lvl>
    <w:lvl w:ilvl="4" w:tplc="08090003">
      <w:start w:val="1"/>
      <w:numFmt w:val="bullet"/>
      <w:lvlText w:val="o"/>
      <w:lvlJc w:val="left"/>
      <w:pPr>
        <w:ind w:left="3663" w:hanging="360"/>
      </w:pPr>
      <w:rPr>
        <w:rFonts w:ascii="Courier New" w:hAnsi="Courier New" w:cs="Courier New" w:hint="default"/>
      </w:rPr>
    </w:lvl>
    <w:lvl w:ilvl="5" w:tplc="08090005">
      <w:start w:val="1"/>
      <w:numFmt w:val="bullet"/>
      <w:lvlText w:val=""/>
      <w:lvlJc w:val="left"/>
      <w:pPr>
        <w:ind w:left="4383" w:hanging="360"/>
      </w:pPr>
      <w:rPr>
        <w:rFonts w:ascii="Wingdings" w:hAnsi="Wingdings" w:hint="default"/>
      </w:rPr>
    </w:lvl>
    <w:lvl w:ilvl="6" w:tplc="08090001">
      <w:start w:val="1"/>
      <w:numFmt w:val="bullet"/>
      <w:lvlText w:val=""/>
      <w:lvlJc w:val="left"/>
      <w:pPr>
        <w:ind w:left="5103" w:hanging="360"/>
      </w:pPr>
      <w:rPr>
        <w:rFonts w:ascii="Symbol" w:hAnsi="Symbol" w:hint="default"/>
      </w:rPr>
    </w:lvl>
    <w:lvl w:ilvl="7" w:tplc="08090003">
      <w:start w:val="1"/>
      <w:numFmt w:val="bullet"/>
      <w:lvlText w:val="o"/>
      <w:lvlJc w:val="left"/>
      <w:pPr>
        <w:ind w:left="5823" w:hanging="360"/>
      </w:pPr>
      <w:rPr>
        <w:rFonts w:ascii="Courier New" w:hAnsi="Courier New" w:cs="Courier New" w:hint="default"/>
      </w:rPr>
    </w:lvl>
    <w:lvl w:ilvl="8" w:tplc="08090005">
      <w:start w:val="1"/>
      <w:numFmt w:val="bullet"/>
      <w:lvlText w:val=""/>
      <w:lvlJc w:val="left"/>
      <w:pPr>
        <w:ind w:left="6543" w:hanging="360"/>
      </w:pPr>
      <w:rPr>
        <w:rFonts w:ascii="Wingdings" w:hAnsi="Wingdings" w:hint="default"/>
      </w:rPr>
    </w:lvl>
  </w:abstractNum>
  <w:abstractNum w:abstractNumId="51" w15:restartNumberingAfterBreak="0">
    <w:nsid w:val="3C8A2BD8"/>
    <w:multiLevelType w:val="hybridMultilevel"/>
    <w:tmpl w:val="8B6C3D18"/>
    <w:lvl w:ilvl="0" w:tplc="E40A04C6">
      <w:start w:val="1"/>
      <w:numFmt w:val="decimal"/>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3CF53318"/>
    <w:multiLevelType w:val="hybridMultilevel"/>
    <w:tmpl w:val="DFA67D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3" w15:restartNumberingAfterBreak="0">
    <w:nsid w:val="3E8005CB"/>
    <w:multiLevelType w:val="hybridMultilevel"/>
    <w:tmpl w:val="8162FC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54" w15:restartNumberingAfterBreak="0">
    <w:nsid w:val="3F2C35F9"/>
    <w:multiLevelType w:val="multilevel"/>
    <w:tmpl w:val="DE30836C"/>
    <w:lvl w:ilvl="0">
      <w:start w:val="1"/>
      <w:numFmt w:val="decimal"/>
      <w:lvlText w:val="%1."/>
      <w:lvlJc w:val="left"/>
      <w:pPr>
        <w:ind w:left="720" w:hanging="360"/>
      </w:pPr>
    </w:lvl>
    <w:lvl w:ilvl="1">
      <w:start w:val="1"/>
      <w:numFmt w:val="decimal"/>
      <w:lvlText w:val="%1.%2."/>
      <w:lvlJc w:val="left"/>
      <w:pPr>
        <w:ind w:left="1152" w:hanging="432"/>
      </w:pPr>
    </w:lvl>
    <w:lvl w:ilvl="2">
      <w:start w:val="1"/>
      <w:numFmt w:val="bullet"/>
      <w:lvlText w:val=""/>
      <w:lvlJc w:val="left"/>
      <w:pPr>
        <w:ind w:left="1584" w:hanging="504"/>
      </w:pPr>
      <w:rPr>
        <w:rFonts w:ascii="Symbol" w:hAnsi="Symbol" w:hint="default"/>
      </w:r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55" w15:restartNumberingAfterBreak="0">
    <w:nsid w:val="40426C02"/>
    <w:multiLevelType w:val="hybridMultilevel"/>
    <w:tmpl w:val="9B0246C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6" w15:restartNumberingAfterBreak="0">
    <w:nsid w:val="404E2D62"/>
    <w:multiLevelType w:val="hybridMultilevel"/>
    <w:tmpl w:val="68BC5C2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7" w15:restartNumberingAfterBreak="0">
    <w:nsid w:val="40704D45"/>
    <w:multiLevelType w:val="hybridMultilevel"/>
    <w:tmpl w:val="0EC0332A"/>
    <w:lvl w:ilvl="0" w:tplc="0409000F">
      <w:start w:val="1"/>
      <w:numFmt w:val="decimal"/>
      <w:lvlText w:val="%1."/>
      <w:lvlJc w:val="left"/>
      <w:pPr>
        <w:ind w:left="2203" w:hanging="360"/>
      </w:pPr>
      <w:rPr>
        <w:b/>
        <w:i w:val="0"/>
        <w:sz w:val="24"/>
      </w:rPr>
    </w:lvl>
    <w:lvl w:ilvl="1" w:tplc="971234F4">
      <w:start w:val="1"/>
      <w:numFmt w:val="decimal"/>
      <w:lvlText w:val="%2"/>
      <w:lvlJc w:val="left"/>
      <w:pPr>
        <w:ind w:left="2923" w:hanging="360"/>
      </w:pPr>
      <w:rPr>
        <w:b/>
        <w:i w:val="0"/>
      </w:rPr>
    </w:lvl>
    <w:lvl w:ilvl="2" w:tplc="0809001B">
      <w:start w:val="1"/>
      <w:numFmt w:val="lowerRoman"/>
      <w:lvlText w:val="%3."/>
      <w:lvlJc w:val="right"/>
      <w:pPr>
        <w:ind w:left="3643" w:hanging="180"/>
      </w:pPr>
    </w:lvl>
    <w:lvl w:ilvl="3" w:tplc="0809000F">
      <w:start w:val="1"/>
      <w:numFmt w:val="decimal"/>
      <w:lvlText w:val="%4."/>
      <w:lvlJc w:val="left"/>
      <w:pPr>
        <w:ind w:left="4363" w:hanging="360"/>
      </w:pPr>
    </w:lvl>
    <w:lvl w:ilvl="4" w:tplc="08090019">
      <w:start w:val="1"/>
      <w:numFmt w:val="lowerLetter"/>
      <w:lvlText w:val="%5."/>
      <w:lvlJc w:val="left"/>
      <w:pPr>
        <w:ind w:left="5083" w:hanging="360"/>
      </w:pPr>
    </w:lvl>
    <w:lvl w:ilvl="5" w:tplc="0809001B">
      <w:start w:val="1"/>
      <w:numFmt w:val="lowerRoman"/>
      <w:lvlText w:val="%6."/>
      <w:lvlJc w:val="right"/>
      <w:pPr>
        <w:ind w:left="5803" w:hanging="180"/>
      </w:pPr>
    </w:lvl>
    <w:lvl w:ilvl="6" w:tplc="0809000F">
      <w:start w:val="1"/>
      <w:numFmt w:val="decimal"/>
      <w:lvlText w:val="%7."/>
      <w:lvlJc w:val="left"/>
      <w:pPr>
        <w:ind w:left="6523" w:hanging="360"/>
      </w:pPr>
    </w:lvl>
    <w:lvl w:ilvl="7" w:tplc="08090019">
      <w:start w:val="1"/>
      <w:numFmt w:val="lowerLetter"/>
      <w:lvlText w:val="%8."/>
      <w:lvlJc w:val="left"/>
      <w:pPr>
        <w:ind w:left="7243" w:hanging="360"/>
      </w:pPr>
    </w:lvl>
    <w:lvl w:ilvl="8" w:tplc="0809001B">
      <w:start w:val="1"/>
      <w:numFmt w:val="lowerRoman"/>
      <w:lvlText w:val="%9."/>
      <w:lvlJc w:val="right"/>
      <w:pPr>
        <w:ind w:left="7963" w:hanging="180"/>
      </w:pPr>
    </w:lvl>
  </w:abstractNum>
  <w:abstractNum w:abstractNumId="58" w15:restartNumberingAfterBreak="0">
    <w:nsid w:val="40AB20AF"/>
    <w:multiLevelType w:val="hybridMultilevel"/>
    <w:tmpl w:val="3B40523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9" w15:restartNumberingAfterBreak="0">
    <w:nsid w:val="4326405B"/>
    <w:multiLevelType w:val="hybridMultilevel"/>
    <w:tmpl w:val="A682548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0" w15:restartNumberingAfterBreak="0">
    <w:nsid w:val="45685EA4"/>
    <w:multiLevelType w:val="hybridMultilevel"/>
    <w:tmpl w:val="FD1822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 w15:restartNumberingAfterBreak="0">
    <w:nsid w:val="458E26DA"/>
    <w:multiLevelType w:val="multilevel"/>
    <w:tmpl w:val="00EA516E"/>
    <w:lvl w:ilvl="0">
      <w:start w:val="1"/>
      <w:numFmt w:val="decimal"/>
      <w:lvlText w:val="%1."/>
      <w:lvlJc w:val="left"/>
      <w:pPr>
        <w:ind w:left="360" w:hanging="360"/>
      </w:pPr>
      <w:rPr>
        <w:color w:val="005EB8"/>
      </w:rPr>
    </w:lvl>
    <w:lvl w:ilvl="1">
      <w:start w:val="1"/>
      <w:numFmt w:val="decimal"/>
      <w:isLgl/>
      <w:lvlText w:val="%1.%2"/>
      <w:lvlJc w:val="left"/>
      <w:pPr>
        <w:ind w:left="360"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62" w15:restartNumberingAfterBreak="0">
    <w:nsid w:val="475006E0"/>
    <w:multiLevelType w:val="hybridMultilevel"/>
    <w:tmpl w:val="FF40E9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63" w15:restartNumberingAfterBreak="0">
    <w:nsid w:val="47B83159"/>
    <w:multiLevelType w:val="hybridMultilevel"/>
    <w:tmpl w:val="3ACAD3E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64" w15:restartNumberingAfterBreak="0">
    <w:nsid w:val="47F9655F"/>
    <w:multiLevelType w:val="hybridMultilevel"/>
    <w:tmpl w:val="12A0D4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5" w15:restartNumberingAfterBreak="0">
    <w:nsid w:val="552C37CA"/>
    <w:multiLevelType w:val="hybridMultilevel"/>
    <w:tmpl w:val="7B70ED90"/>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6" w15:restartNumberingAfterBreak="0">
    <w:nsid w:val="57B87977"/>
    <w:multiLevelType w:val="hybridMultilevel"/>
    <w:tmpl w:val="4C56DE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7" w15:restartNumberingAfterBreak="0">
    <w:nsid w:val="58DF272B"/>
    <w:multiLevelType w:val="hybridMultilevel"/>
    <w:tmpl w:val="090EA21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8" w15:restartNumberingAfterBreak="0">
    <w:nsid w:val="59486E2B"/>
    <w:multiLevelType w:val="hybridMultilevel"/>
    <w:tmpl w:val="8B6C3D18"/>
    <w:lvl w:ilvl="0" w:tplc="E40A04C6">
      <w:start w:val="1"/>
      <w:numFmt w:val="decimal"/>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5B6736F2"/>
    <w:multiLevelType w:val="multilevel"/>
    <w:tmpl w:val="DE30836C"/>
    <w:lvl w:ilvl="0">
      <w:start w:val="1"/>
      <w:numFmt w:val="decimal"/>
      <w:lvlText w:val="%1."/>
      <w:lvlJc w:val="left"/>
      <w:pPr>
        <w:ind w:left="720" w:hanging="360"/>
      </w:pPr>
    </w:lvl>
    <w:lvl w:ilvl="1">
      <w:start w:val="1"/>
      <w:numFmt w:val="decimal"/>
      <w:lvlText w:val="%1.%2."/>
      <w:lvlJc w:val="left"/>
      <w:pPr>
        <w:ind w:left="1152" w:hanging="432"/>
      </w:pPr>
    </w:lvl>
    <w:lvl w:ilvl="2">
      <w:start w:val="1"/>
      <w:numFmt w:val="bullet"/>
      <w:lvlText w:val=""/>
      <w:lvlJc w:val="left"/>
      <w:pPr>
        <w:ind w:left="1584" w:hanging="504"/>
      </w:pPr>
      <w:rPr>
        <w:rFonts w:ascii="Symbol" w:hAnsi="Symbol" w:hint="default"/>
      </w:r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70" w15:restartNumberingAfterBreak="0">
    <w:nsid w:val="5C864F0F"/>
    <w:multiLevelType w:val="hybridMultilevel"/>
    <w:tmpl w:val="86B8D5C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 w15:restartNumberingAfterBreak="0">
    <w:nsid w:val="5CED4574"/>
    <w:multiLevelType w:val="hybridMultilevel"/>
    <w:tmpl w:val="69C2C7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2" w15:restartNumberingAfterBreak="0">
    <w:nsid w:val="5D5A0CAD"/>
    <w:multiLevelType w:val="hybridMultilevel"/>
    <w:tmpl w:val="0FDCD6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73" w15:restartNumberingAfterBreak="0">
    <w:nsid w:val="5F934F17"/>
    <w:multiLevelType w:val="hybridMultilevel"/>
    <w:tmpl w:val="C16CF758"/>
    <w:lvl w:ilvl="0" w:tplc="08090001">
      <w:start w:val="1"/>
      <w:numFmt w:val="bullet"/>
      <w:lvlText w:val=""/>
      <w:lvlJc w:val="left"/>
      <w:pPr>
        <w:ind w:left="360" w:hanging="360"/>
      </w:pPr>
      <w:rPr>
        <w:rFonts w:ascii="Symbol" w:hAnsi="Symbol" w:hint="default"/>
        <w:b w:val="0"/>
      </w:rPr>
    </w:lvl>
    <w:lvl w:ilvl="1" w:tplc="F0C6607A">
      <w:numFmt w:val="bullet"/>
      <w:lvlText w:val="•"/>
      <w:lvlJc w:val="left"/>
      <w:pPr>
        <w:ind w:left="1080" w:hanging="360"/>
      </w:pPr>
      <w:rPr>
        <w:rFonts w:ascii="Arial" w:hAnsi="Arial" w:cs="Times New Roman" w:hint="default"/>
        <w:sz w:val="24"/>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 w15:restartNumberingAfterBreak="0">
    <w:nsid w:val="5FD243AE"/>
    <w:multiLevelType w:val="hybridMultilevel"/>
    <w:tmpl w:val="F4C6E9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75" w15:restartNumberingAfterBreak="0">
    <w:nsid w:val="602A0758"/>
    <w:multiLevelType w:val="hybridMultilevel"/>
    <w:tmpl w:val="CABE508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 w15:restartNumberingAfterBreak="0">
    <w:nsid w:val="61E14BDA"/>
    <w:multiLevelType w:val="hybridMultilevel"/>
    <w:tmpl w:val="6ADE43A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7" w15:restartNumberingAfterBreak="0">
    <w:nsid w:val="61E97D33"/>
    <w:multiLevelType w:val="hybridMultilevel"/>
    <w:tmpl w:val="BE74E4FE"/>
    <w:lvl w:ilvl="0" w:tplc="306AA006">
      <w:start w:val="1"/>
      <w:numFmt w:val="bullet"/>
      <w:lvlText w:val=""/>
      <w:lvlJc w:val="left"/>
      <w:pPr>
        <w:ind w:left="1077" w:hanging="360"/>
      </w:pPr>
      <w:rPr>
        <w:rFonts w:ascii="Wingdings" w:hAnsi="Wingdings" w:hint="default"/>
      </w:rPr>
    </w:lvl>
    <w:lvl w:ilvl="1" w:tplc="08090003">
      <w:start w:val="1"/>
      <w:numFmt w:val="bullet"/>
      <w:lvlText w:val="o"/>
      <w:lvlJc w:val="left"/>
      <w:pPr>
        <w:ind w:left="1797" w:hanging="360"/>
      </w:pPr>
      <w:rPr>
        <w:rFonts w:ascii="Courier New" w:hAnsi="Courier New" w:cs="Courier New" w:hint="default"/>
      </w:rPr>
    </w:lvl>
    <w:lvl w:ilvl="2" w:tplc="08090005">
      <w:start w:val="1"/>
      <w:numFmt w:val="bullet"/>
      <w:lvlText w:val=""/>
      <w:lvlJc w:val="left"/>
      <w:pPr>
        <w:ind w:left="2517" w:hanging="360"/>
      </w:pPr>
      <w:rPr>
        <w:rFonts w:ascii="Wingdings" w:hAnsi="Wingdings" w:hint="default"/>
      </w:rPr>
    </w:lvl>
    <w:lvl w:ilvl="3" w:tplc="08090001">
      <w:start w:val="1"/>
      <w:numFmt w:val="bullet"/>
      <w:lvlText w:val=""/>
      <w:lvlJc w:val="left"/>
      <w:pPr>
        <w:ind w:left="3237" w:hanging="360"/>
      </w:pPr>
      <w:rPr>
        <w:rFonts w:ascii="Symbol" w:hAnsi="Symbol" w:hint="default"/>
      </w:rPr>
    </w:lvl>
    <w:lvl w:ilvl="4" w:tplc="08090003">
      <w:start w:val="1"/>
      <w:numFmt w:val="bullet"/>
      <w:lvlText w:val="o"/>
      <w:lvlJc w:val="left"/>
      <w:pPr>
        <w:ind w:left="3957" w:hanging="360"/>
      </w:pPr>
      <w:rPr>
        <w:rFonts w:ascii="Courier New" w:hAnsi="Courier New" w:cs="Courier New" w:hint="default"/>
      </w:rPr>
    </w:lvl>
    <w:lvl w:ilvl="5" w:tplc="08090005">
      <w:start w:val="1"/>
      <w:numFmt w:val="bullet"/>
      <w:lvlText w:val=""/>
      <w:lvlJc w:val="left"/>
      <w:pPr>
        <w:ind w:left="4677" w:hanging="360"/>
      </w:pPr>
      <w:rPr>
        <w:rFonts w:ascii="Wingdings" w:hAnsi="Wingdings" w:hint="default"/>
      </w:rPr>
    </w:lvl>
    <w:lvl w:ilvl="6" w:tplc="08090001">
      <w:start w:val="1"/>
      <w:numFmt w:val="bullet"/>
      <w:lvlText w:val=""/>
      <w:lvlJc w:val="left"/>
      <w:pPr>
        <w:ind w:left="5397" w:hanging="360"/>
      </w:pPr>
      <w:rPr>
        <w:rFonts w:ascii="Symbol" w:hAnsi="Symbol" w:hint="default"/>
      </w:rPr>
    </w:lvl>
    <w:lvl w:ilvl="7" w:tplc="08090003">
      <w:start w:val="1"/>
      <w:numFmt w:val="bullet"/>
      <w:lvlText w:val="o"/>
      <w:lvlJc w:val="left"/>
      <w:pPr>
        <w:ind w:left="6117" w:hanging="360"/>
      </w:pPr>
      <w:rPr>
        <w:rFonts w:ascii="Courier New" w:hAnsi="Courier New" w:cs="Courier New" w:hint="default"/>
      </w:rPr>
    </w:lvl>
    <w:lvl w:ilvl="8" w:tplc="08090005">
      <w:start w:val="1"/>
      <w:numFmt w:val="bullet"/>
      <w:lvlText w:val=""/>
      <w:lvlJc w:val="left"/>
      <w:pPr>
        <w:ind w:left="6837" w:hanging="360"/>
      </w:pPr>
      <w:rPr>
        <w:rFonts w:ascii="Wingdings" w:hAnsi="Wingdings" w:hint="default"/>
      </w:rPr>
    </w:lvl>
  </w:abstractNum>
  <w:abstractNum w:abstractNumId="78" w15:restartNumberingAfterBreak="0">
    <w:nsid w:val="650D7991"/>
    <w:multiLevelType w:val="hybridMultilevel"/>
    <w:tmpl w:val="F440EFE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9" w15:restartNumberingAfterBreak="0">
    <w:nsid w:val="66A049B6"/>
    <w:multiLevelType w:val="hybridMultilevel"/>
    <w:tmpl w:val="CB949048"/>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 w15:restartNumberingAfterBreak="0">
    <w:nsid w:val="69E1391B"/>
    <w:multiLevelType w:val="hybridMultilevel"/>
    <w:tmpl w:val="387C52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1" w15:restartNumberingAfterBreak="0">
    <w:nsid w:val="704C54DD"/>
    <w:multiLevelType w:val="hybridMultilevel"/>
    <w:tmpl w:val="F5D8FDC0"/>
    <w:lvl w:ilvl="0" w:tplc="08090001">
      <w:start w:val="1"/>
      <w:numFmt w:val="bullet"/>
      <w:lvlText w:val=""/>
      <w:lvlJc w:val="left"/>
      <w:pPr>
        <w:ind w:left="785" w:hanging="360"/>
      </w:pPr>
      <w:rPr>
        <w:rFonts w:ascii="Symbol" w:hAnsi="Symbol" w:hint="default"/>
      </w:rPr>
    </w:lvl>
    <w:lvl w:ilvl="1" w:tplc="08090003">
      <w:start w:val="1"/>
      <w:numFmt w:val="bullet"/>
      <w:lvlText w:val="o"/>
      <w:lvlJc w:val="left"/>
      <w:pPr>
        <w:ind w:left="1505" w:hanging="360"/>
      </w:pPr>
      <w:rPr>
        <w:rFonts w:ascii="Courier New" w:hAnsi="Courier New" w:cs="Courier New" w:hint="default"/>
      </w:rPr>
    </w:lvl>
    <w:lvl w:ilvl="2" w:tplc="08090005">
      <w:start w:val="1"/>
      <w:numFmt w:val="bullet"/>
      <w:lvlText w:val=""/>
      <w:lvlJc w:val="left"/>
      <w:pPr>
        <w:ind w:left="2225" w:hanging="360"/>
      </w:pPr>
      <w:rPr>
        <w:rFonts w:ascii="Wingdings" w:hAnsi="Wingdings" w:hint="default"/>
      </w:rPr>
    </w:lvl>
    <w:lvl w:ilvl="3" w:tplc="08090001">
      <w:start w:val="1"/>
      <w:numFmt w:val="bullet"/>
      <w:lvlText w:val=""/>
      <w:lvlJc w:val="left"/>
      <w:pPr>
        <w:ind w:left="2945" w:hanging="360"/>
      </w:pPr>
      <w:rPr>
        <w:rFonts w:ascii="Symbol" w:hAnsi="Symbol" w:hint="default"/>
      </w:rPr>
    </w:lvl>
    <w:lvl w:ilvl="4" w:tplc="08090003">
      <w:start w:val="1"/>
      <w:numFmt w:val="bullet"/>
      <w:lvlText w:val="o"/>
      <w:lvlJc w:val="left"/>
      <w:pPr>
        <w:ind w:left="3665" w:hanging="360"/>
      </w:pPr>
      <w:rPr>
        <w:rFonts w:ascii="Courier New" w:hAnsi="Courier New" w:cs="Courier New" w:hint="default"/>
      </w:rPr>
    </w:lvl>
    <w:lvl w:ilvl="5" w:tplc="08090005">
      <w:start w:val="1"/>
      <w:numFmt w:val="bullet"/>
      <w:lvlText w:val=""/>
      <w:lvlJc w:val="left"/>
      <w:pPr>
        <w:ind w:left="4385" w:hanging="360"/>
      </w:pPr>
      <w:rPr>
        <w:rFonts w:ascii="Wingdings" w:hAnsi="Wingdings" w:hint="default"/>
      </w:rPr>
    </w:lvl>
    <w:lvl w:ilvl="6" w:tplc="08090001">
      <w:start w:val="1"/>
      <w:numFmt w:val="bullet"/>
      <w:lvlText w:val=""/>
      <w:lvlJc w:val="left"/>
      <w:pPr>
        <w:ind w:left="5105" w:hanging="360"/>
      </w:pPr>
      <w:rPr>
        <w:rFonts w:ascii="Symbol" w:hAnsi="Symbol" w:hint="default"/>
      </w:rPr>
    </w:lvl>
    <w:lvl w:ilvl="7" w:tplc="08090003">
      <w:start w:val="1"/>
      <w:numFmt w:val="bullet"/>
      <w:lvlText w:val="o"/>
      <w:lvlJc w:val="left"/>
      <w:pPr>
        <w:ind w:left="5825" w:hanging="360"/>
      </w:pPr>
      <w:rPr>
        <w:rFonts w:ascii="Courier New" w:hAnsi="Courier New" w:cs="Courier New" w:hint="default"/>
      </w:rPr>
    </w:lvl>
    <w:lvl w:ilvl="8" w:tplc="08090005">
      <w:start w:val="1"/>
      <w:numFmt w:val="bullet"/>
      <w:lvlText w:val=""/>
      <w:lvlJc w:val="left"/>
      <w:pPr>
        <w:ind w:left="6545" w:hanging="360"/>
      </w:pPr>
      <w:rPr>
        <w:rFonts w:ascii="Wingdings" w:hAnsi="Wingdings" w:hint="default"/>
      </w:rPr>
    </w:lvl>
  </w:abstractNum>
  <w:abstractNum w:abstractNumId="82" w15:restartNumberingAfterBreak="0">
    <w:nsid w:val="718261EC"/>
    <w:multiLevelType w:val="hybridMultilevel"/>
    <w:tmpl w:val="C346FB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3" w15:restartNumberingAfterBreak="0">
    <w:nsid w:val="72F26BC2"/>
    <w:multiLevelType w:val="hybridMultilevel"/>
    <w:tmpl w:val="C1C2B8BA"/>
    <w:lvl w:ilvl="0" w:tplc="F9AA78C6">
      <w:start w:val="1"/>
      <w:numFmt w:val="decimal"/>
      <w:lvlText w:val="%1."/>
      <w:lvlJc w:val="left"/>
      <w:pPr>
        <w:tabs>
          <w:tab w:val="num" w:pos="360"/>
        </w:tabs>
        <w:ind w:left="567" w:hanging="567"/>
      </w:pPr>
    </w:lvl>
    <w:lvl w:ilvl="1" w:tplc="287C624A">
      <w:start w:val="1"/>
      <w:numFmt w:val="decimal"/>
      <w:lvlText w:val="%2."/>
      <w:lvlJc w:val="left"/>
      <w:pPr>
        <w:tabs>
          <w:tab w:val="num" w:pos="1440"/>
        </w:tabs>
        <w:ind w:left="1440" w:hanging="360"/>
      </w:pPr>
    </w:lvl>
    <w:lvl w:ilvl="2" w:tplc="4E882B3A">
      <w:start w:val="1"/>
      <w:numFmt w:val="decimal"/>
      <w:lvlText w:val="%3."/>
      <w:lvlJc w:val="left"/>
      <w:pPr>
        <w:tabs>
          <w:tab w:val="num" w:pos="2160"/>
        </w:tabs>
        <w:ind w:left="2160" w:hanging="360"/>
      </w:pPr>
    </w:lvl>
    <w:lvl w:ilvl="3" w:tplc="D374C65C">
      <w:start w:val="1"/>
      <w:numFmt w:val="decimal"/>
      <w:lvlText w:val="%4."/>
      <w:lvlJc w:val="left"/>
      <w:pPr>
        <w:tabs>
          <w:tab w:val="num" w:pos="2880"/>
        </w:tabs>
        <w:ind w:left="2880" w:hanging="360"/>
      </w:pPr>
    </w:lvl>
    <w:lvl w:ilvl="4" w:tplc="32C4096E">
      <w:start w:val="1"/>
      <w:numFmt w:val="decimal"/>
      <w:lvlText w:val="%5."/>
      <w:lvlJc w:val="left"/>
      <w:pPr>
        <w:tabs>
          <w:tab w:val="num" w:pos="3600"/>
        </w:tabs>
        <w:ind w:left="3600" w:hanging="360"/>
      </w:pPr>
    </w:lvl>
    <w:lvl w:ilvl="5" w:tplc="FCBAEDC2">
      <w:start w:val="1"/>
      <w:numFmt w:val="decimal"/>
      <w:lvlText w:val="%6."/>
      <w:lvlJc w:val="left"/>
      <w:pPr>
        <w:tabs>
          <w:tab w:val="num" w:pos="4320"/>
        </w:tabs>
        <w:ind w:left="4320" w:hanging="360"/>
      </w:pPr>
    </w:lvl>
    <w:lvl w:ilvl="6" w:tplc="A8E4B8C0">
      <w:start w:val="1"/>
      <w:numFmt w:val="decimal"/>
      <w:lvlText w:val="%7."/>
      <w:lvlJc w:val="left"/>
      <w:pPr>
        <w:tabs>
          <w:tab w:val="num" w:pos="5040"/>
        </w:tabs>
        <w:ind w:left="5040" w:hanging="360"/>
      </w:pPr>
    </w:lvl>
    <w:lvl w:ilvl="7" w:tplc="1B5E68B8">
      <w:start w:val="1"/>
      <w:numFmt w:val="decimal"/>
      <w:lvlText w:val="%8."/>
      <w:lvlJc w:val="left"/>
      <w:pPr>
        <w:tabs>
          <w:tab w:val="num" w:pos="5760"/>
        </w:tabs>
        <w:ind w:left="5760" w:hanging="360"/>
      </w:pPr>
    </w:lvl>
    <w:lvl w:ilvl="8" w:tplc="EF9AA45C">
      <w:start w:val="1"/>
      <w:numFmt w:val="decimal"/>
      <w:lvlText w:val="%9."/>
      <w:lvlJc w:val="left"/>
      <w:pPr>
        <w:tabs>
          <w:tab w:val="num" w:pos="6480"/>
        </w:tabs>
        <w:ind w:left="6480" w:hanging="360"/>
      </w:pPr>
    </w:lvl>
  </w:abstractNum>
  <w:abstractNum w:abstractNumId="84" w15:restartNumberingAfterBreak="0">
    <w:nsid w:val="74121F7C"/>
    <w:multiLevelType w:val="hybridMultilevel"/>
    <w:tmpl w:val="BD503C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5" w15:restartNumberingAfterBreak="0">
    <w:nsid w:val="747C7DAF"/>
    <w:multiLevelType w:val="hybridMultilevel"/>
    <w:tmpl w:val="CC2401CA"/>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6" w15:restartNumberingAfterBreak="0">
    <w:nsid w:val="75A177E0"/>
    <w:multiLevelType w:val="hybridMultilevel"/>
    <w:tmpl w:val="3B14BC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7" w15:restartNumberingAfterBreak="0">
    <w:nsid w:val="75C553EB"/>
    <w:multiLevelType w:val="hybridMultilevel"/>
    <w:tmpl w:val="4FBE9C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88" w15:restartNumberingAfterBreak="0">
    <w:nsid w:val="76F15766"/>
    <w:multiLevelType w:val="multilevel"/>
    <w:tmpl w:val="724405E6"/>
    <w:lvl w:ilvl="0">
      <w:start w:val="2"/>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9" w15:restartNumberingAfterBreak="0">
    <w:nsid w:val="7B2802A0"/>
    <w:multiLevelType w:val="hybridMultilevel"/>
    <w:tmpl w:val="0846AEB4"/>
    <w:lvl w:ilvl="0" w:tplc="B2A01196">
      <w:start w:val="2"/>
      <w:numFmt w:val="decimal"/>
      <w:lvlText w:val="%1"/>
      <w:lvlJc w:val="left"/>
      <w:pPr>
        <w:ind w:left="720" w:hanging="360"/>
      </w:pPr>
      <w:rPr>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 w15:restartNumberingAfterBreak="0">
    <w:nsid w:val="7CD13F95"/>
    <w:multiLevelType w:val="hybridMultilevel"/>
    <w:tmpl w:val="0A4C5E9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1" w15:restartNumberingAfterBreak="0">
    <w:nsid w:val="7DE64501"/>
    <w:multiLevelType w:val="hybridMultilevel"/>
    <w:tmpl w:val="D6F8771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2" w15:restartNumberingAfterBreak="0">
    <w:nsid w:val="7E9E45A3"/>
    <w:multiLevelType w:val="hybridMultilevel"/>
    <w:tmpl w:val="A478173C"/>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num w:numId="1">
    <w:abstractNumId w:val="76"/>
  </w:num>
  <w:num w:numId="2">
    <w:abstractNumId w:val="25"/>
  </w:num>
  <w:num w:numId="3">
    <w:abstractNumId w:val="29"/>
  </w:num>
  <w:num w:numId="4">
    <w:abstractNumId w:val="58"/>
  </w:num>
  <w:num w:numId="5">
    <w:abstractNumId w:val="67"/>
  </w:num>
  <w:num w:numId="6">
    <w:abstractNumId w:val="19"/>
  </w:num>
  <w:num w:numId="7">
    <w:abstractNumId w:val="16"/>
  </w:num>
  <w:num w:numId="8">
    <w:abstractNumId w:val="23"/>
  </w:num>
  <w:num w:numId="9">
    <w:abstractNumId w:val="91"/>
  </w:num>
  <w:num w:numId="10">
    <w:abstractNumId w:val="30"/>
  </w:num>
  <w:num w:numId="11">
    <w:abstractNumId w:val="78"/>
  </w:num>
  <w:num w:numId="12">
    <w:abstractNumId w:val="40"/>
  </w:num>
  <w:num w:numId="13">
    <w:abstractNumId w:val="71"/>
  </w:num>
  <w:num w:numId="14">
    <w:abstractNumId w:val="9"/>
  </w:num>
  <w:num w:numId="15">
    <w:abstractNumId w:val="70"/>
  </w:num>
  <w:num w:numId="16">
    <w:abstractNumId w:val="85"/>
  </w:num>
  <w:num w:numId="17">
    <w:abstractNumId w:val="50"/>
  </w:num>
  <w:num w:numId="18">
    <w:abstractNumId w:val="32"/>
  </w:num>
  <w:num w:numId="19">
    <w:abstractNumId w:val="84"/>
  </w:num>
  <w:num w:numId="20">
    <w:abstractNumId w:val="52"/>
  </w:num>
  <w:num w:numId="21">
    <w:abstractNumId w:val="64"/>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6"/>
  </w:num>
  <w:num w:numId="29">
    <w:abstractNumId w:val="90"/>
  </w:num>
  <w:num w:numId="30">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2"/>
  </w:num>
  <w:num w:numId="32">
    <w:abstractNumId w:val="8"/>
  </w:num>
  <w:num w:numId="33">
    <w:abstractNumId w:val="48"/>
    <w:lvlOverride w:ilvl="0"/>
    <w:lvlOverride w:ilvl="1">
      <w:startOverride w:val="4"/>
    </w:lvlOverride>
    <w:lvlOverride w:ilvl="2"/>
    <w:lvlOverride w:ilvl="3"/>
    <w:lvlOverride w:ilvl="4"/>
    <w:lvlOverride w:ilvl="5"/>
    <w:lvlOverride w:ilvl="6"/>
    <w:lvlOverride w:ilvl="7"/>
    <w:lvlOverride w:ilvl="8"/>
  </w:num>
  <w:num w:numId="34">
    <w:abstractNumId w:val="33"/>
  </w:num>
  <w:num w:numId="35">
    <w:abstractNumId w:val="1"/>
  </w:num>
  <w:num w:numId="3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9"/>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88"/>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4"/>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1"/>
  </w:num>
  <w:num w:numId="44">
    <w:abstractNumId w:val="77"/>
  </w:num>
  <w:num w:numId="45">
    <w:abstractNumId w:val="37"/>
  </w:num>
  <w:num w:numId="46">
    <w:abstractNumId w:val="92"/>
  </w:num>
  <w:num w:numId="47">
    <w:abstractNumId w:val="3"/>
  </w:num>
  <w:num w:numId="4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8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80"/>
  </w:num>
  <w:num w:numId="51">
    <w:abstractNumId w:val="36"/>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
  </w:num>
  <w:num w:numId="54">
    <w:abstractNumId w:val="60"/>
  </w:num>
  <w:num w:numId="55">
    <w:abstractNumId w:val="0"/>
    <w:lvlOverride w:ilvl="0">
      <w:startOverride w:val="1"/>
    </w:lvlOverride>
    <w:lvlOverride w:ilvl="1"/>
    <w:lvlOverride w:ilvl="2"/>
    <w:lvlOverride w:ilvl="3"/>
    <w:lvlOverride w:ilvl="4"/>
    <w:lvlOverride w:ilvl="5"/>
    <w:lvlOverride w:ilvl="6"/>
    <w:lvlOverride w:ilvl="7"/>
    <w:lvlOverride w:ilvl="8"/>
  </w:num>
  <w:num w:numId="56">
    <w:abstractNumId w:val="24"/>
  </w:num>
  <w:num w:numId="57">
    <w:abstractNumId w:val="41"/>
  </w:num>
  <w:num w:numId="58">
    <w:abstractNumId w:val="82"/>
  </w:num>
  <w:num w:numId="59">
    <w:abstractNumId w:val="27"/>
  </w:num>
  <w:num w:numId="60">
    <w:abstractNumId w:val="28"/>
  </w:num>
  <w:num w:numId="61">
    <w:abstractNumId w:val="87"/>
  </w:num>
  <w:num w:numId="62">
    <w:abstractNumId w:val="74"/>
  </w:num>
  <w:num w:numId="63">
    <w:abstractNumId w:val="62"/>
  </w:num>
  <w:num w:numId="64">
    <w:abstractNumId w:val="7"/>
  </w:num>
  <w:num w:numId="65">
    <w:abstractNumId w:val="11"/>
  </w:num>
  <w:num w:numId="66">
    <w:abstractNumId w:val="5"/>
  </w:num>
  <w:num w:numId="67">
    <w:abstractNumId w:val="53"/>
  </w:num>
  <w:num w:numId="68">
    <w:abstractNumId w:val="34"/>
  </w:num>
  <w:num w:numId="69">
    <w:abstractNumId w:val="63"/>
  </w:num>
  <w:num w:numId="70">
    <w:abstractNumId w:val="13"/>
  </w:num>
  <w:num w:numId="71">
    <w:abstractNumId w:val="26"/>
  </w:num>
  <w:num w:numId="72">
    <w:abstractNumId w:val="72"/>
  </w:num>
  <w:num w:numId="73">
    <w:abstractNumId w:val="38"/>
  </w:num>
  <w:num w:numId="74">
    <w:abstractNumId w:val="47"/>
  </w:num>
  <w:num w:numId="75">
    <w:abstractNumId w:val="10"/>
  </w:num>
  <w:num w:numId="76">
    <w:abstractNumId w:val="44"/>
  </w:num>
  <w:num w:numId="77">
    <w:abstractNumId w:val="66"/>
  </w:num>
  <w:num w:numId="78">
    <w:abstractNumId w:val="55"/>
  </w:num>
  <w:num w:numId="79">
    <w:abstractNumId w:val="31"/>
  </w:num>
  <w:num w:numId="80">
    <w:abstractNumId w:val="59"/>
  </w:num>
  <w:num w:numId="81">
    <w:abstractNumId w:val="75"/>
  </w:num>
  <w:num w:numId="8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81"/>
  </w:num>
  <w:num w:numId="87">
    <w:abstractNumId w:val="14"/>
  </w:num>
  <w:num w:numId="88">
    <w:abstractNumId w:val="49"/>
  </w:num>
  <w:num w:numId="89">
    <w:abstractNumId w:val="68"/>
  </w:num>
  <w:num w:numId="90">
    <w:abstractNumId w:val="12"/>
  </w:num>
  <w:num w:numId="91">
    <w:abstractNumId w:val="15"/>
  </w:num>
  <w:num w:numId="92">
    <w:abstractNumId w:val="51"/>
  </w:num>
  <w:num w:numId="93">
    <w:abstractNumId w:val="86"/>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4950"/>
    <w:rsid w:val="000141DA"/>
    <w:rsid w:val="00034942"/>
    <w:rsid w:val="0004147B"/>
    <w:rsid w:val="00066DE9"/>
    <w:rsid w:val="000779CF"/>
    <w:rsid w:val="00097DA7"/>
    <w:rsid w:val="000C4436"/>
    <w:rsid w:val="000F2D45"/>
    <w:rsid w:val="00155D55"/>
    <w:rsid w:val="00184104"/>
    <w:rsid w:val="001A6445"/>
    <w:rsid w:val="001C7077"/>
    <w:rsid w:val="001F5319"/>
    <w:rsid w:val="00202546"/>
    <w:rsid w:val="00254950"/>
    <w:rsid w:val="00283B8F"/>
    <w:rsid w:val="002A2910"/>
    <w:rsid w:val="002F6011"/>
    <w:rsid w:val="00336A14"/>
    <w:rsid w:val="00337759"/>
    <w:rsid w:val="0039368E"/>
    <w:rsid w:val="003B4D6E"/>
    <w:rsid w:val="003D79C3"/>
    <w:rsid w:val="003E1E32"/>
    <w:rsid w:val="003F60C3"/>
    <w:rsid w:val="004728E9"/>
    <w:rsid w:val="004819B4"/>
    <w:rsid w:val="004A29C3"/>
    <w:rsid w:val="004E77B4"/>
    <w:rsid w:val="004F798E"/>
    <w:rsid w:val="00584F8A"/>
    <w:rsid w:val="005D0443"/>
    <w:rsid w:val="005D0AC7"/>
    <w:rsid w:val="0061490B"/>
    <w:rsid w:val="00620279"/>
    <w:rsid w:val="0068705F"/>
    <w:rsid w:val="006C1BBC"/>
    <w:rsid w:val="00701552"/>
    <w:rsid w:val="00724FBD"/>
    <w:rsid w:val="007474AE"/>
    <w:rsid w:val="007836E8"/>
    <w:rsid w:val="008067B5"/>
    <w:rsid w:val="00841096"/>
    <w:rsid w:val="00852E56"/>
    <w:rsid w:val="00863197"/>
    <w:rsid w:val="008828C8"/>
    <w:rsid w:val="008A31F3"/>
    <w:rsid w:val="008B1E25"/>
    <w:rsid w:val="008F4FAB"/>
    <w:rsid w:val="00966A93"/>
    <w:rsid w:val="009A2554"/>
    <w:rsid w:val="009E4C9E"/>
    <w:rsid w:val="00A23B1B"/>
    <w:rsid w:val="00A240D1"/>
    <w:rsid w:val="00A62300"/>
    <w:rsid w:val="00AB7707"/>
    <w:rsid w:val="00AD2747"/>
    <w:rsid w:val="00AD2DD3"/>
    <w:rsid w:val="00B35150"/>
    <w:rsid w:val="00B81CA2"/>
    <w:rsid w:val="00B8621B"/>
    <w:rsid w:val="00BB1FA9"/>
    <w:rsid w:val="00C04593"/>
    <w:rsid w:val="00C1021F"/>
    <w:rsid w:val="00C75DEB"/>
    <w:rsid w:val="00C77883"/>
    <w:rsid w:val="00CC17EF"/>
    <w:rsid w:val="00D20CD9"/>
    <w:rsid w:val="00D644E0"/>
    <w:rsid w:val="00DF7F41"/>
    <w:rsid w:val="00E52A93"/>
    <w:rsid w:val="00E93704"/>
    <w:rsid w:val="00EB01E2"/>
    <w:rsid w:val="00F179BD"/>
    <w:rsid w:val="00F3157B"/>
    <w:rsid w:val="00F41460"/>
    <w:rsid w:val="00F607BD"/>
    <w:rsid w:val="00F90ED1"/>
    <w:rsid w:val="00FA0B73"/>
    <w:rsid w:val="00FB3BF2"/>
    <w:rsid w:val="00FC57A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4:docId w14:val="07A2B58E"/>
  <w15:chartTrackingRefBased/>
  <w15:docId w15:val="{8979F0E4-117D-47E1-98D5-C95E7C7483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1FA9"/>
    <w:pPr>
      <w:spacing w:after="0" w:line="240" w:lineRule="auto"/>
    </w:pPr>
    <w:rPr>
      <w:rFonts w:ascii="Arial" w:hAnsi="Arial"/>
      <w:sz w:val="24"/>
    </w:rPr>
  </w:style>
  <w:style w:type="paragraph" w:styleId="Heading1">
    <w:name w:val="heading 1"/>
    <w:basedOn w:val="Normal"/>
    <w:next w:val="Normal"/>
    <w:link w:val="Heading1Char"/>
    <w:uiPriority w:val="9"/>
    <w:qFormat/>
    <w:rsid w:val="0004147B"/>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1A6445"/>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4728E9"/>
    <w:pPr>
      <w:keepNext/>
      <w:keepLines/>
      <w:spacing w:before="4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4147B"/>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04147B"/>
    <w:pPr>
      <w:spacing w:line="259" w:lineRule="auto"/>
      <w:outlineLvl w:val="9"/>
    </w:pPr>
    <w:rPr>
      <w:lang w:val="en-US"/>
    </w:rPr>
  </w:style>
  <w:style w:type="paragraph" w:styleId="TOC1">
    <w:name w:val="toc 1"/>
    <w:basedOn w:val="Normal"/>
    <w:next w:val="Normal"/>
    <w:autoRedefine/>
    <w:uiPriority w:val="39"/>
    <w:unhideWhenUsed/>
    <w:rsid w:val="0004147B"/>
    <w:pPr>
      <w:spacing w:after="100"/>
    </w:pPr>
  </w:style>
  <w:style w:type="character" w:styleId="Hyperlink">
    <w:name w:val="Hyperlink"/>
    <w:basedOn w:val="DefaultParagraphFont"/>
    <w:uiPriority w:val="99"/>
    <w:unhideWhenUsed/>
    <w:rsid w:val="0004147B"/>
    <w:rPr>
      <w:color w:val="0000FF" w:themeColor="hyperlink"/>
      <w:u w:val="single"/>
    </w:rPr>
  </w:style>
  <w:style w:type="character" w:customStyle="1" w:styleId="Heading1Char1">
    <w:name w:val="Heading 1 Char1"/>
    <w:basedOn w:val="DefaultParagraphFont"/>
    <w:uiPriority w:val="9"/>
    <w:locked/>
    <w:rsid w:val="00CC17EF"/>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1A6445"/>
    <w:rPr>
      <w:rFonts w:asciiTheme="majorHAnsi" w:eastAsiaTheme="majorEastAsia" w:hAnsiTheme="majorHAnsi" w:cstheme="majorBidi"/>
      <w:color w:val="365F91" w:themeColor="accent1" w:themeShade="BF"/>
      <w:sz w:val="26"/>
      <w:szCs w:val="26"/>
    </w:rPr>
  </w:style>
  <w:style w:type="paragraph" w:styleId="ListParagraph">
    <w:name w:val="List Paragraph"/>
    <w:basedOn w:val="Normal"/>
    <w:uiPriority w:val="34"/>
    <w:qFormat/>
    <w:rsid w:val="001A6445"/>
    <w:pPr>
      <w:ind w:left="720"/>
      <w:contextualSpacing/>
    </w:pPr>
  </w:style>
  <w:style w:type="table" w:styleId="TableGrid">
    <w:name w:val="Table Grid"/>
    <w:basedOn w:val="TableNormal"/>
    <w:uiPriority w:val="59"/>
    <w:rsid w:val="001A644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4728E9"/>
    <w:rPr>
      <w:rFonts w:asciiTheme="majorHAnsi" w:eastAsiaTheme="majorEastAsia" w:hAnsiTheme="majorHAnsi" w:cstheme="majorBidi"/>
      <w:color w:val="243F60" w:themeColor="accent1" w:themeShade="7F"/>
      <w:sz w:val="24"/>
      <w:szCs w:val="24"/>
    </w:rPr>
  </w:style>
  <w:style w:type="numbering" w:customStyle="1" w:styleId="NoList1">
    <w:name w:val="No List1"/>
    <w:next w:val="NoList"/>
    <w:uiPriority w:val="99"/>
    <w:semiHidden/>
    <w:unhideWhenUsed/>
    <w:rsid w:val="004728E9"/>
  </w:style>
  <w:style w:type="character" w:styleId="FollowedHyperlink">
    <w:name w:val="FollowedHyperlink"/>
    <w:basedOn w:val="DefaultParagraphFont"/>
    <w:uiPriority w:val="99"/>
    <w:semiHidden/>
    <w:unhideWhenUsed/>
    <w:rsid w:val="004728E9"/>
    <w:rPr>
      <w:color w:val="800080" w:themeColor="followedHyperlink"/>
      <w:u w:val="single"/>
    </w:rPr>
  </w:style>
  <w:style w:type="paragraph" w:customStyle="1" w:styleId="msonormal0">
    <w:name w:val="msonormal"/>
    <w:basedOn w:val="Normal"/>
    <w:rsid w:val="004728E9"/>
    <w:pPr>
      <w:spacing w:before="100" w:beforeAutospacing="1" w:after="100" w:afterAutospacing="1"/>
    </w:pPr>
    <w:rPr>
      <w:rFonts w:ascii="Times New Roman" w:eastAsia="Times New Roman" w:hAnsi="Times New Roman" w:cs="Times New Roman"/>
      <w:szCs w:val="24"/>
      <w:lang w:eastAsia="en-GB"/>
    </w:rPr>
  </w:style>
  <w:style w:type="paragraph" w:styleId="NormalWeb">
    <w:name w:val="Normal (Web)"/>
    <w:basedOn w:val="Normal"/>
    <w:uiPriority w:val="99"/>
    <w:semiHidden/>
    <w:unhideWhenUsed/>
    <w:rsid w:val="004728E9"/>
    <w:pPr>
      <w:spacing w:before="100" w:beforeAutospacing="1" w:after="100" w:afterAutospacing="1"/>
    </w:pPr>
    <w:rPr>
      <w:rFonts w:ascii="Times New Roman" w:eastAsia="Times New Roman" w:hAnsi="Times New Roman" w:cs="Times New Roman"/>
      <w:szCs w:val="24"/>
      <w:lang w:eastAsia="en-GB"/>
    </w:rPr>
  </w:style>
  <w:style w:type="paragraph" w:styleId="TOC2">
    <w:name w:val="toc 2"/>
    <w:basedOn w:val="Normal"/>
    <w:next w:val="Normal"/>
    <w:autoRedefine/>
    <w:uiPriority w:val="39"/>
    <w:unhideWhenUsed/>
    <w:rsid w:val="004728E9"/>
    <w:pPr>
      <w:spacing w:before="120" w:after="100" w:line="324" w:lineRule="auto"/>
      <w:ind w:left="240"/>
    </w:pPr>
    <w:rPr>
      <w:rFonts w:eastAsia="Calibri" w:cs="Times New Roman"/>
      <w:color w:val="002F87"/>
    </w:rPr>
  </w:style>
  <w:style w:type="paragraph" w:styleId="CommentText">
    <w:name w:val="annotation text"/>
    <w:basedOn w:val="Normal"/>
    <w:link w:val="CommentTextChar"/>
    <w:uiPriority w:val="99"/>
    <w:semiHidden/>
    <w:unhideWhenUsed/>
    <w:rsid w:val="004728E9"/>
    <w:pPr>
      <w:spacing w:before="120" w:after="120"/>
    </w:pPr>
    <w:rPr>
      <w:rFonts w:eastAsia="Calibri" w:cs="Times New Roman"/>
      <w:color w:val="002F87"/>
      <w:sz w:val="20"/>
      <w:szCs w:val="20"/>
    </w:rPr>
  </w:style>
  <w:style w:type="character" w:customStyle="1" w:styleId="CommentTextChar">
    <w:name w:val="Comment Text Char"/>
    <w:basedOn w:val="DefaultParagraphFont"/>
    <w:link w:val="CommentText"/>
    <w:uiPriority w:val="99"/>
    <w:semiHidden/>
    <w:rsid w:val="004728E9"/>
    <w:rPr>
      <w:rFonts w:ascii="Arial" w:eastAsia="Calibri" w:hAnsi="Arial" w:cs="Times New Roman"/>
      <w:color w:val="002F87"/>
      <w:sz w:val="20"/>
      <w:szCs w:val="20"/>
    </w:rPr>
  </w:style>
  <w:style w:type="paragraph" w:styleId="Header">
    <w:name w:val="header"/>
    <w:basedOn w:val="Normal"/>
    <w:link w:val="HeaderChar"/>
    <w:uiPriority w:val="99"/>
    <w:unhideWhenUsed/>
    <w:rsid w:val="004728E9"/>
    <w:pPr>
      <w:tabs>
        <w:tab w:val="center" w:pos="4513"/>
        <w:tab w:val="right" w:pos="9026"/>
      </w:tabs>
      <w:spacing w:before="120" w:after="120" w:line="324" w:lineRule="auto"/>
    </w:pPr>
    <w:rPr>
      <w:rFonts w:eastAsia="Calibri" w:cs="Times New Roman"/>
      <w:color w:val="002F87"/>
    </w:rPr>
  </w:style>
  <w:style w:type="character" w:customStyle="1" w:styleId="HeaderChar">
    <w:name w:val="Header Char"/>
    <w:basedOn w:val="DefaultParagraphFont"/>
    <w:link w:val="Header"/>
    <w:uiPriority w:val="99"/>
    <w:rsid w:val="004728E9"/>
    <w:rPr>
      <w:rFonts w:ascii="Arial" w:eastAsia="Calibri" w:hAnsi="Arial" w:cs="Times New Roman"/>
      <w:color w:val="002F87"/>
      <w:sz w:val="24"/>
    </w:rPr>
  </w:style>
  <w:style w:type="paragraph" w:styleId="Footer">
    <w:name w:val="footer"/>
    <w:basedOn w:val="Normal"/>
    <w:link w:val="FooterChar"/>
    <w:uiPriority w:val="99"/>
    <w:unhideWhenUsed/>
    <w:rsid w:val="004728E9"/>
    <w:pPr>
      <w:tabs>
        <w:tab w:val="center" w:pos="4513"/>
        <w:tab w:val="right" w:pos="9026"/>
      </w:tabs>
      <w:spacing w:before="120" w:after="120" w:line="324" w:lineRule="auto"/>
    </w:pPr>
    <w:rPr>
      <w:rFonts w:eastAsia="Calibri" w:cs="Times New Roman"/>
      <w:color w:val="002F87"/>
    </w:rPr>
  </w:style>
  <w:style w:type="character" w:customStyle="1" w:styleId="FooterChar">
    <w:name w:val="Footer Char"/>
    <w:basedOn w:val="DefaultParagraphFont"/>
    <w:link w:val="Footer"/>
    <w:uiPriority w:val="99"/>
    <w:rsid w:val="004728E9"/>
    <w:rPr>
      <w:rFonts w:ascii="Arial" w:eastAsia="Calibri" w:hAnsi="Arial" w:cs="Times New Roman"/>
      <w:color w:val="002F87"/>
      <w:sz w:val="24"/>
    </w:rPr>
  </w:style>
  <w:style w:type="paragraph" w:styleId="Title">
    <w:name w:val="Title"/>
    <w:basedOn w:val="Normal"/>
    <w:next w:val="Normal"/>
    <w:link w:val="TitleChar"/>
    <w:uiPriority w:val="10"/>
    <w:qFormat/>
    <w:rsid w:val="004728E9"/>
    <w:pPr>
      <w:contextualSpacing/>
    </w:pPr>
    <w:rPr>
      <w:rFonts w:eastAsia="Times New Roman" w:cs="Times New Roman"/>
      <w:color w:val="FFFFFF" w:themeColor="background1"/>
      <w:spacing w:val="-10"/>
      <w:kern w:val="28"/>
      <w:sz w:val="84"/>
      <w:szCs w:val="56"/>
    </w:rPr>
  </w:style>
  <w:style w:type="character" w:customStyle="1" w:styleId="TitleChar">
    <w:name w:val="Title Char"/>
    <w:basedOn w:val="DefaultParagraphFont"/>
    <w:link w:val="Title"/>
    <w:uiPriority w:val="10"/>
    <w:rsid w:val="004728E9"/>
    <w:rPr>
      <w:rFonts w:ascii="Arial" w:eastAsia="Times New Roman" w:hAnsi="Arial" w:cs="Times New Roman"/>
      <w:color w:val="FFFFFF" w:themeColor="background1"/>
      <w:spacing w:val="-10"/>
      <w:kern w:val="28"/>
      <w:sz w:val="84"/>
      <w:szCs w:val="56"/>
    </w:rPr>
  </w:style>
  <w:style w:type="paragraph" w:styleId="CommentSubject">
    <w:name w:val="annotation subject"/>
    <w:basedOn w:val="CommentText"/>
    <w:next w:val="CommentText"/>
    <w:link w:val="CommentSubjectChar"/>
    <w:uiPriority w:val="99"/>
    <w:semiHidden/>
    <w:unhideWhenUsed/>
    <w:rsid w:val="004728E9"/>
    <w:rPr>
      <w:b/>
      <w:bCs/>
    </w:rPr>
  </w:style>
  <w:style w:type="character" w:customStyle="1" w:styleId="CommentSubjectChar">
    <w:name w:val="Comment Subject Char"/>
    <w:basedOn w:val="CommentTextChar"/>
    <w:link w:val="CommentSubject"/>
    <w:uiPriority w:val="99"/>
    <w:semiHidden/>
    <w:rsid w:val="004728E9"/>
    <w:rPr>
      <w:rFonts w:ascii="Arial" w:eastAsia="Calibri" w:hAnsi="Arial" w:cs="Times New Roman"/>
      <w:b/>
      <w:bCs/>
      <w:color w:val="002F87"/>
      <w:sz w:val="20"/>
      <w:szCs w:val="20"/>
    </w:rPr>
  </w:style>
  <w:style w:type="paragraph" w:styleId="BalloonText">
    <w:name w:val="Balloon Text"/>
    <w:basedOn w:val="Normal"/>
    <w:link w:val="BalloonTextChar"/>
    <w:uiPriority w:val="99"/>
    <w:semiHidden/>
    <w:unhideWhenUsed/>
    <w:rsid w:val="004728E9"/>
    <w:pPr>
      <w:spacing w:before="120"/>
    </w:pPr>
    <w:rPr>
      <w:rFonts w:ascii="Segoe UI" w:eastAsia="Calibri" w:hAnsi="Segoe UI" w:cs="Segoe UI"/>
      <w:color w:val="002F87"/>
      <w:sz w:val="18"/>
      <w:szCs w:val="18"/>
    </w:rPr>
  </w:style>
  <w:style w:type="character" w:customStyle="1" w:styleId="BalloonTextChar">
    <w:name w:val="Balloon Text Char"/>
    <w:basedOn w:val="DefaultParagraphFont"/>
    <w:link w:val="BalloonText"/>
    <w:uiPriority w:val="99"/>
    <w:semiHidden/>
    <w:rsid w:val="004728E9"/>
    <w:rPr>
      <w:rFonts w:ascii="Segoe UI" w:eastAsia="Calibri" w:hAnsi="Segoe UI" w:cs="Segoe UI"/>
      <w:color w:val="002F87"/>
      <w:sz w:val="18"/>
      <w:szCs w:val="18"/>
    </w:rPr>
  </w:style>
  <w:style w:type="paragraph" w:styleId="NoSpacing">
    <w:name w:val="No Spacing"/>
    <w:aliases w:val="Table text"/>
    <w:link w:val="NoSpacingChar"/>
    <w:uiPriority w:val="1"/>
    <w:qFormat/>
    <w:rsid w:val="004728E9"/>
    <w:pPr>
      <w:spacing w:after="0" w:line="240" w:lineRule="auto"/>
    </w:pPr>
    <w:rPr>
      <w:rFonts w:ascii="Arial" w:eastAsia="Calibri" w:hAnsi="Arial" w:cs="Times New Roman"/>
      <w:color w:val="002F87"/>
      <w:sz w:val="20"/>
    </w:rPr>
  </w:style>
  <w:style w:type="paragraph" w:customStyle="1" w:styleId="TableParagraph">
    <w:name w:val="Table Paragraph"/>
    <w:basedOn w:val="Normal"/>
    <w:uiPriority w:val="1"/>
    <w:semiHidden/>
    <w:qFormat/>
    <w:rsid w:val="004728E9"/>
    <w:pPr>
      <w:widowControl w:val="0"/>
      <w:autoSpaceDE w:val="0"/>
      <w:autoSpaceDN w:val="0"/>
      <w:spacing w:before="120" w:line="264" w:lineRule="auto"/>
    </w:pPr>
    <w:rPr>
      <w:rFonts w:eastAsia="Arial" w:cs="Arial"/>
      <w:color w:val="002F87"/>
      <w:lang w:val="en-US"/>
    </w:rPr>
  </w:style>
  <w:style w:type="character" w:styleId="CommentReference">
    <w:name w:val="annotation reference"/>
    <w:basedOn w:val="DefaultParagraphFont"/>
    <w:uiPriority w:val="99"/>
    <w:semiHidden/>
    <w:unhideWhenUsed/>
    <w:rsid w:val="004728E9"/>
    <w:rPr>
      <w:sz w:val="16"/>
      <w:szCs w:val="16"/>
    </w:rPr>
  </w:style>
  <w:style w:type="table" w:customStyle="1" w:styleId="TableGrid1">
    <w:name w:val="Table Grid1"/>
    <w:basedOn w:val="TableNormal"/>
    <w:next w:val="TableGrid"/>
    <w:uiPriority w:val="59"/>
    <w:rsid w:val="004728E9"/>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LHformtable">
    <w:name w:val="ULH form table"/>
    <w:basedOn w:val="TableNormal"/>
    <w:uiPriority w:val="99"/>
    <w:rsid w:val="004728E9"/>
    <w:pPr>
      <w:spacing w:after="0" w:line="240" w:lineRule="auto"/>
    </w:pPr>
    <w:rPr>
      <w:rFonts w:ascii="Arial" w:eastAsia="Calibri" w:hAnsi="Arial" w:cs="Times New Roman"/>
    </w:rPr>
    <w:tblPr>
      <w:tblInd w:w="0" w:type="nil"/>
      <w:tblBorders>
        <w:top w:val="single" w:sz="4" w:space="0" w:color="005EB8"/>
        <w:left w:val="single" w:sz="4" w:space="0" w:color="005EB8"/>
        <w:bottom w:val="single" w:sz="4" w:space="0" w:color="005EB8"/>
        <w:right w:val="single" w:sz="4" w:space="0" w:color="005EB8"/>
        <w:insideH w:val="single" w:sz="4" w:space="0" w:color="005EB8"/>
        <w:insideV w:val="single" w:sz="4" w:space="0" w:color="005EB8"/>
      </w:tblBorders>
      <w:tblCellMar>
        <w:top w:w="108" w:type="dxa"/>
        <w:bottom w:w="108" w:type="dxa"/>
      </w:tblCellMar>
    </w:tblPr>
    <w:tblStylePr w:type="firstRow">
      <w:rPr>
        <w:rFonts w:ascii="Arial" w:hAnsi="Arial" w:cs="Arial" w:hint="default"/>
        <w:sz w:val="22"/>
        <w:szCs w:val="22"/>
      </w:rPr>
      <w:tblPr/>
      <w:tcPr>
        <w:shd w:val="clear" w:color="auto" w:fill="DBE5F1" w:themeFill="accent1" w:themeFillTint="33"/>
      </w:tcPr>
    </w:tblStylePr>
  </w:style>
  <w:style w:type="table" w:customStyle="1" w:styleId="Annualreporttabke">
    <w:name w:val="Annual report tabke"/>
    <w:basedOn w:val="TableNormal"/>
    <w:uiPriority w:val="99"/>
    <w:rsid w:val="004728E9"/>
    <w:pPr>
      <w:spacing w:after="0"/>
    </w:pPr>
    <w:rPr>
      <w:rFonts w:ascii="Arial" w:eastAsia="Calibri" w:hAnsi="Arial" w:cs="Times New Roman"/>
    </w:rPr>
    <w:tblPr>
      <w:tblInd w:w="0" w:type="nil"/>
      <w:tblBorders>
        <w:top w:val="single" w:sz="4" w:space="0" w:color="005EB8"/>
        <w:left w:val="single" w:sz="4" w:space="0" w:color="005EB8"/>
        <w:bottom w:val="single" w:sz="4" w:space="0" w:color="005EB8"/>
        <w:right w:val="single" w:sz="4" w:space="0" w:color="005EB8"/>
        <w:insideH w:val="single" w:sz="4" w:space="0" w:color="005EB8"/>
        <w:insideV w:val="single" w:sz="4" w:space="0" w:color="005EB8"/>
      </w:tblBorders>
    </w:tblPr>
    <w:tblStylePr w:type="firstRow">
      <w:rPr>
        <w:rFonts w:ascii="Arial" w:hAnsi="Arial" w:cs="Arial" w:hint="default"/>
        <w:b/>
        <w:sz w:val="22"/>
        <w:szCs w:val="22"/>
      </w:rPr>
      <w:tblPr/>
      <w:tcPr>
        <w:shd w:val="clear" w:color="auto" w:fill="CCDBF1"/>
      </w:tcPr>
    </w:tblStylePr>
  </w:style>
  <w:style w:type="table" w:customStyle="1" w:styleId="PlainTable11">
    <w:name w:val="Plain Table 11"/>
    <w:basedOn w:val="TableNormal"/>
    <w:uiPriority w:val="41"/>
    <w:rsid w:val="004728E9"/>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NoSpacingChar">
    <w:name w:val="No Spacing Char"/>
    <w:aliases w:val="Table text Char"/>
    <w:basedOn w:val="DefaultParagraphFont"/>
    <w:link w:val="NoSpacing"/>
    <w:uiPriority w:val="1"/>
    <w:locked/>
    <w:rsid w:val="00701552"/>
    <w:rPr>
      <w:rFonts w:ascii="Arial" w:eastAsia="Calibri" w:hAnsi="Arial" w:cs="Times New Roman"/>
      <w:color w:val="002F87"/>
      <w:sz w:val="20"/>
    </w:rPr>
  </w:style>
  <w:style w:type="table" w:customStyle="1" w:styleId="TableGrid2">
    <w:name w:val="Table Grid2"/>
    <w:basedOn w:val="TableNormal"/>
    <w:next w:val="TableGrid"/>
    <w:uiPriority w:val="39"/>
    <w:rsid w:val="003E1E3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semiHidden/>
    <w:unhideWhenUsed/>
    <w:rsid w:val="003E1E32"/>
    <w:rPr>
      <w:rFonts w:ascii="Calibri" w:eastAsia="Times New Roman" w:hAnsi="Calibri" w:cs="Times New Roman"/>
      <w:sz w:val="22"/>
      <w:szCs w:val="21"/>
      <w:lang w:eastAsia="en-GB"/>
    </w:rPr>
  </w:style>
  <w:style w:type="character" w:customStyle="1" w:styleId="PlainTextChar">
    <w:name w:val="Plain Text Char"/>
    <w:basedOn w:val="DefaultParagraphFont"/>
    <w:link w:val="PlainText"/>
    <w:uiPriority w:val="99"/>
    <w:semiHidden/>
    <w:rsid w:val="003E1E32"/>
    <w:rPr>
      <w:rFonts w:ascii="Calibri" w:eastAsia="Times New Roman" w:hAnsi="Calibri" w:cs="Times New Roman"/>
      <w:szCs w:val="21"/>
      <w:lang w:eastAsia="en-GB"/>
    </w:rPr>
  </w:style>
  <w:style w:type="table" w:styleId="LightList-Accent1">
    <w:name w:val="Light List Accent 1"/>
    <w:basedOn w:val="TableNormal"/>
    <w:uiPriority w:val="61"/>
    <w:semiHidden/>
    <w:unhideWhenUsed/>
    <w:rsid w:val="00A23B1B"/>
    <w:pPr>
      <w:spacing w:after="0" w:line="240" w:lineRule="auto"/>
    </w:pPr>
    <w:rPr>
      <w:rFonts w:ascii="Times New Roman" w:eastAsia="Times New Roman" w:hAnsi="Times New Roman" w:cs="Times New Roman"/>
      <w:sz w:val="20"/>
      <w:szCs w:val="20"/>
      <w:lang w:eastAsia="en-GB"/>
    </w:rPr>
    <w:tblPr>
      <w:tblStyleRowBandSize w:val="1"/>
      <w:tblStyleColBandSize w:val="1"/>
      <w:tblInd w:w="0" w:type="nil"/>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OC3">
    <w:name w:val="toc 3"/>
    <w:basedOn w:val="Normal"/>
    <w:next w:val="Normal"/>
    <w:autoRedefine/>
    <w:uiPriority w:val="39"/>
    <w:unhideWhenUsed/>
    <w:rsid w:val="002F6011"/>
    <w:pPr>
      <w:spacing w:after="100"/>
      <w:ind w:left="480"/>
    </w:pPr>
  </w:style>
  <w:style w:type="table" w:customStyle="1" w:styleId="TableGrid3">
    <w:name w:val="Table Grid3"/>
    <w:basedOn w:val="TableNormal"/>
    <w:next w:val="TableGrid"/>
    <w:rsid w:val="002A291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
    <w:rsid w:val="00066DE9"/>
    <w:pPr>
      <w:spacing w:before="100" w:beforeAutospacing="1" w:after="100" w:afterAutospacing="1"/>
    </w:pPr>
    <w:rPr>
      <w:rFonts w:ascii="Calibri" w:eastAsia="Times New Roman" w:hAnsi="Calibri" w:cs="Calibri"/>
      <w:b/>
      <w:bCs/>
      <w:color w:val="000000"/>
      <w:sz w:val="22"/>
      <w:lang w:eastAsia="en-GB"/>
    </w:rPr>
  </w:style>
  <w:style w:type="paragraph" w:customStyle="1" w:styleId="xl65">
    <w:name w:val="xl65"/>
    <w:basedOn w:val="Normal"/>
    <w:rsid w:val="00066DE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66">
    <w:name w:val="xl66"/>
    <w:basedOn w:val="Normal"/>
    <w:rsid w:val="00066DE9"/>
    <w:pPr>
      <w:pBdr>
        <w:top w:val="single" w:sz="4" w:space="0" w:color="auto"/>
        <w:left w:val="single" w:sz="4" w:space="0" w:color="auto"/>
        <w:bottom w:val="single" w:sz="4" w:space="0" w:color="auto"/>
        <w:right w:val="single" w:sz="4" w:space="0" w:color="auto"/>
      </w:pBdr>
      <w:shd w:val="clear" w:color="000000" w:fill="FFC7CE"/>
      <w:spacing w:before="100" w:beforeAutospacing="1" w:after="100" w:afterAutospacing="1"/>
      <w:textAlignment w:val="center"/>
    </w:pPr>
    <w:rPr>
      <w:rFonts w:ascii="Times New Roman" w:eastAsia="Times New Roman" w:hAnsi="Times New Roman" w:cs="Times New Roman"/>
      <w:color w:val="9C0006"/>
      <w:szCs w:val="24"/>
      <w:lang w:eastAsia="en-GB"/>
    </w:rPr>
  </w:style>
  <w:style w:type="paragraph" w:customStyle="1" w:styleId="xl67">
    <w:name w:val="xl67"/>
    <w:basedOn w:val="Normal"/>
    <w:rsid w:val="00066DE9"/>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68">
    <w:name w:val="xl68"/>
    <w:basedOn w:val="Normal"/>
    <w:rsid w:val="00066DE9"/>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69">
    <w:name w:val="xl69"/>
    <w:basedOn w:val="Normal"/>
    <w:rsid w:val="00066DE9"/>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70">
    <w:name w:val="xl70"/>
    <w:basedOn w:val="Normal"/>
    <w:rsid w:val="00066DE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71">
    <w:name w:val="xl71"/>
    <w:basedOn w:val="Normal"/>
    <w:rsid w:val="00066DE9"/>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72">
    <w:name w:val="xl72"/>
    <w:basedOn w:val="Normal"/>
    <w:rsid w:val="00066DE9"/>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73">
    <w:name w:val="xl73"/>
    <w:basedOn w:val="Normal"/>
    <w:rsid w:val="00066DE9"/>
    <w:pPr>
      <w:pBdr>
        <w:top w:val="single" w:sz="4" w:space="0" w:color="auto"/>
        <w:left w:val="single" w:sz="4" w:space="0" w:color="auto"/>
        <w:bottom w:val="single" w:sz="4" w:space="0" w:color="auto"/>
        <w:right w:val="single" w:sz="4" w:space="0" w:color="auto"/>
      </w:pBdr>
      <w:shd w:val="clear" w:color="000000" w:fill="C6EFCE"/>
      <w:spacing w:before="100" w:beforeAutospacing="1" w:after="100" w:afterAutospacing="1"/>
      <w:textAlignment w:val="center"/>
    </w:pPr>
    <w:rPr>
      <w:rFonts w:ascii="Times New Roman" w:eastAsia="Times New Roman" w:hAnsi="Times New Roman" w:cs="Times New Roman"/>
      <w:color w:val="006100"/>
      <w:szCs w:val="24"/>
      <w:lang w:eastAsia="en-GB"/>
    </w:rPr>
  </w:style>
  <w:style w:type="paragraph" w:customStyle="1" w:styleId="xl74">
    <w:name w:val="xl74"/>
    <w:basedOn w:val="Normal"/>
    <w:rsid w:val="00066DE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75">
    <w:name w:val="xl75"/>
    <w:basedOn w:val="Normal"/>
    <w:rsid w:val="00066DE9"/>
    <w:pPr>
      <w:pBdr>
        <w:top w:val="single" w:sz="4" w:space="0" w:color="auto"/>
        <w:left w:val="single" w:sz="4" w:space="0" w:color="auto"/>
        <w:bottom w:val="single" w:sz="4" w:space="0" w:color="auto"/>
        <w:right w:val="single" w:sz="4" w:space="0" w:color="auto"/>
      </w:pBdr>
      <w:shd w:val="clear" w:color="000000" w:fill="CC66FF"/>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76">
    <w:name w:val="xl76"/>
    <w:basedOn w:val="Normal"/>
    <w:rsid w:val="00066DE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77">
    <w:name w:val="xl77"/>
    <w:basedOn w:val="Normal"/>
    <w:rsid w:val="00066DE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78">
    <w:name w:val="xl78"/>
    <w:basedOn w:val="Normal"/>
    <w:rsid w:val="00066DE9"/>
    <w:pPr>
      <w:spacing w:before="100" w:beforeAutospacing="1" w:after="100" w:afterAutospacing="1"/>
      <w:textAlignment w:val="center"/>
    </w:pPr>
    <w:rPr>
      <w:rFonts w:ascii="Times New Roman" w:eastAsia="Times New Roman" w:hAnsi="Times New Roman" w:cs="Times New Roman"/>
      <w:b/>
      <w:bCs/>
      <w:szCs w:val="24"/>
      <w:lang w:eastAsia="en-GB"/>
    </w:rPr>
  </w:style>
  <w:style w:type="paragraph" w:customStyle="1" w:styleId="xl79">
    <w:name w:val="xl79"/>
    <w:basedOn w:val="Normal"/>
    <w:rsid w:val="00066DE9"/>
    <w:pPr>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80">
    <w:name w:val="xl80"/>
    <w:basedOn w:val="Normal"/>
    <w:rsid w:val="00066DE9"/>
    <w:pPr>
      <w:spacing w:before="100" w:beforeAutospacing="1" w:after="100" w:afterAutospacing="1"/>
      <w:textAlignment w:val="center"/>
    </w:pPr>
    <w:rPr>
      <w:rFonts w:ascii="Times New Roman" w:eastAsia="Times New Roman" w:hAnsi="Times New Roman" w:cs="Times New Roman"/>
      <w:color w:val="9C0006"/>
      <w:szCs w:val="24"/>
      <w:lang w:eastAsia="en-GB"/>
    </w:rPr>
  </w:style>
  <w:style w:type="paragraph" w:customStyle="1" w:styleId="xl81">
    <w:name w:val="xl81"/>
    <w:basedOn w:val="Normal"/>
    <w:rsid w:val="00066DE9"/>
    <w:pPr>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82">
    <w:name w:val="xl82"/>
    <w:basedOn w:val="Normal"/>
    <w:rsid w:val="00066DE9"/>
    <w:pPr>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83">
    <w:name w:val="xl83"/>
    <w:basedOn w:val="Normal"/>
    <w:rsid w:val="00066DE9"/>
    <w:pPr>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84">
    <w:name w:val="xl84"/>
    <w:basedOn w:val="Normal"/>
    <w:rsid w:val="00066DE9"/>
    <w:pPr>
      <w:pBdr>
        <w:left w:val="single" w:sz="4" w:space="0" w:color="auto"/>
        <w:bottom w:val="single" w:sz="4" w:space="0" w:color="auto"/>
        <w:right w:val="single" w:sz="4" w:space="0" w:color="auto"/>
      </w:pBdr>
      <w:shd w:val="clear" w:color="000000" w:fill="FFFFCC"/>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85">
    <w:name w:val="xl85"/>
    <w:basedOn w:val="Normal"/>
    <w:rsid w:val="00066DE9"/>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86">
    <w:name w:val="xl86"/>
    <w:basedOn w:val="Normal"/>
    <w:rsid w:val="00066DE9"/>
    <w:pPr>
      <w:pBdr>
        <w:left w:val="single" w:sz="4" w:space="0" w:color="auto"/>
        <w:bottom w:val="single" w:sz="4" w:space="0" w:color="auto"/>
        <w:right w:val="single" w:sz="4" w:space="0" w:color="auto"/>
      </w:pBdr>
      <w:shd w:val="clear" w:color="000000" w:fill="DDEBF7"/>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87">
    <w:name w:val="xl87"/>
    <w:basedOn w:val="Normal"/>
    <w:rsid w:val="00066DE9"/>
    <w:pPr>
      <w:pBdr>
        <w:left w:val="single" w:sz="4" w:space="0" w:color="auto"/>
        <w:bottom w:val="single" w:sz="4" w:space="0" w:color="auto"/>
        <w:right w:val="single" w:sz="4" w:space="0" w:color="auto"/>
      </w:pBdr>
      <w:shd w:val="clear" w:color="000000" w:fill="E2EFDA"/>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88">
    <w:name w:val="xl88"/>
    <w:basedOn w:val="Normal"/>
    <w:rsid w:val="00066DE9"/>
    <w:pPr>
      <w:pBdr>
        <w:top w:val="single" w:sz="8" w:space="0" w:color="auto"/>
        <w:left w:val="single" w:sz="8"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Cs w:val="24"/>
      <w:lang w:eastAsia="en-GB"/>
    </w:rPr>
  </w:style>
  <w:style w:type="paragraph" w:customStyle="1" w:styleId="xl89">
    <w:name w:val="xl89"/>
    <w:basedOn w:val="Normal"/>
    <w:rsid w:val="00066DE9"/>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Cs w:val="24"/>
      <w:lang w:eastAsia="en-GB"/>
    </w:rPr>
  </w:style>
  <w:style w:type="paragraph" w:customStyle="1" w:styleId="xl90">
    <w:name w:val="xl90"/>
    <w:basedOn w:val="Normal"/>
    <w:rsid w:val="00066DE9"/>
    <w:pPr>
      <w:pBdr>
        <w:top w:val="single" w:sz="8" w:space="0" w:color="auto"/>
        <w:left w:val="single" w:sz="4" w:space="0" w:color="auto"/>
        <w:bottom w:val="single" w:sz="8" w:space="0" w:color="auto"/>
        <w:right w:val="single" w:sz="4" w:space="0" w:color="auto"/>
      </w:pBdr>
      <w:shd w:val="clear" w:color="000000" w:fill="DDEBF7"/>
      <w:spacing w:before="100" w:beforeAutospacing="1" w:after="100" w:afterAutospacing="1"/>
      <w:textAlignment w:val="center"/>
    </w:pPr>
    <w:rPr>
      <w:rFonts w:ascii="Times New Roman" w:eastAsia="Times New Roman" w:hAnsi="Times New Roman" w:cs="Times New Roman"/>
      <w:b/>
      <w:bCs/>
      <w:szCs w:val="24"/>
      <w:lang w:eastAsia="en-GB"/>
    </w:rPr>
  </w:style>
  <w:style w:type="paragraph" w:customStyle="1" w:styleId="xl91">
    <w:name w:val="xl91"/>
    <w:basedOn w:val="Normal"/>
    <w:rsid w:val="00066DE9"/>
    <w:pPr>
      <w:pBdr>
        <w:top w:val="single" w:sz="8" w:space="0" w:color="auto"/>
        <w:left w:val="single" w:sz="4" w:space="0" w:color="auto"/>
        <w:bottom w:val="single" w:sz="8" w:space="0" w:color="auto"/>
        <w:right w:val="single" w:sz="4" w:space="0" w:color="auto"/>
      </w:pBdr>
      <w:shd w:val="clear" w:color="000000" w:fill="E2EFDA"/>
      <w:spacing w:before="100" w:beforeAutospacing="1" w:after="100" w:afterAutospacing="1"/>
      <w:textAlignment w:val="center"/>
    </w:pPr>
    <w:rPr>
      <w:rFonts w:ascii="Times New Roman" w:eastAsia="Times New Roman" w:hAnsi="Times New Roman" w:cs="Times New Roman"/>
      <w:b/>
      <w:bCs/>
      <w:szCs w:val="24"/>
      <w:lang w:eastAsia="en-GB"/>
    </w:rPr>
  </w:style>
  <w:style w:type="paragraph" w:customStyle="1" w:styleId="xl92">
    <w:name w:val="xl92"/>
    <w:basedOn w:val="Normal"/>
    <w:rsid w:val="00066DE9"/>
    <w:pPr>
      <w:pBdr>
        <w:top w:val="single" w:sz="8" w:space="0" w:color="auto"/>
        <w:left w:val="single" w:sz="4" w:space="0" w:color="auto"/>
        <w:bottom w:val="single" w:sz="8" w:space="0" w:color="auto"/>
        <w:right w:val="single" w:sz="8" w:space="0" w:color="auto"/>
      </w:pBdr>
      <w:shd w:val="clear" w:color="000000" w:fill="E2EFDA"/>
      <w:spacing w:before="100" w:beforeAutospacing="1" w:after="100" w:afterAutospacing="1"/>
      <w:textAlignment w:val="center"/>
    </w:pPr>
    <w:rPr>
      <w:rFonts w:ascii="Times New Roman" w:eastAsia="Times New Roman" w:hAnsi="Times New Roman" w:cs="Times New Roman"/>
      <w:b/>
      <w:bCs/>
      <w:szCs w:val="24"/>
      <w:lang w:eastAsia="en-GB"/>
    </w:rPr>
  </w:style>
  <w:style w:type="paragraph" w:customStyle="1" w:styleId="xl93">
    <w:name w:val="xl93"/>
    <w:basedOn w:val="Normal"/>
    <w:rsid w:val="00066DE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center"/>
    </w:pPr>
    <w:rPr>
      <w:rFonts w:ascii="Times New Roman" w:eastAsia="Times New Roman" w:hAnsi="Times New Roman" w:cs="Times New Roman"/>
      <w:color w:val="FF0000"/>
      <w:szCs w:val="24"/>
      <w:lang w:eastAsia="en-GB"/>
    </w:rPr>
  </w:style>
  <w:style w:type="paragraph" w:customStyle="1" w:styleId="xl94">
    <w:name w:val="xl94"/>
    <w:basedOn w:val="Normal"/>
    <w:rsid w:val="00066DE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FFFFFF"/>
      <w:szCs w:val="24"/>
      <w:lang w:eastAsia="en-GB"/>
    </w:rPr>
  </w:style>
  <w:style w:type="paragraph" w:customStyle="1" w:styleId="xl95">
    <w:name w:val="xl95"/>
    <w:basedOn w:val="Normal"/>
    <w:rsid w:val="00066DE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Cs w:val="24"/>
      <w:lang w:eastAsia="en-GB"/>
    </w:rPr>
  </w:style>
  <w:style w:type="paragraph" w:customStyle="1" w:styleId="xl96">
    <w:name w:val="xl96"/>
    <w:basedOn w:val="Normal"/>
    <w:rsid w:val="00066DE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9C0006"/>
      <w:szCs w:val="24"/>
      <w:lang w:eastAsia="en-GB"/>
    </w:rPr>
  </w:style>
  <w:style w:type="paragraph" w:customStyle="1" w:styleId="xl97">
    <w:name w:val="xl97"/>
    <w:basedOn w:val="Normal"/>
    <w:rsid w:val="00066DE9"/>
    <w:pPr>
      <w:pBdr>
        <w:top w:val="single" w:sz="4" w:space="0" w:color="B2B2B2"/>
        <w:left w:val="single" w:sz="4" w:space="0" w:color="B2B2B2"/>
        <w:bottom w:val="single" w:sz="4" w:space="0" w:color="B2B2B2"/>
        <w:right w:val="single" w:sz="4" w:space="0" w:color="B2B2B2"/>
      </w:pBdr>
      <w:spacing w:before="100" w:beforeAutospacing="1" w:after="100" w:afterAutospacing="1"/>
      <w:textAlignment w:val="center"/>
    </w:pPr>
    <w:rPr>
      <w:rFonts w:ascii="Times New Roman" w:eastAsia="Times New Roman" w:hAnsi="Times New Roman" w:cs="Times New Roman"/>
      <w:color w:val="FFFFFF"/>
      <w:szCs w:val="24"/>
      <w:lang w:eastAsia="en-GB"/>
    </w:rPr>
  </w:style>
  <w:style w:type="paragraph" w:customStyle="1" w:styleId="Address">
    <w:name w:val="Address"/>
    <w:basedOn w:val="Normal"/>
    <w:uiPriority w:val="1"/>
    <w:qFormat/>
    <w:rsid w:val="00DF7F41"/>
    <w:pPr>
      <w:spacing w:line="271" w:lineRule="auto"/>
      <w:ind w:right="720"/>
    </w:pPr>
    <w:rPr>
      <w:rFonts w:asciiTheme="minorHAnsi" w:eastAsiaTheme="minorEastAsia" w:hAnsiTheme="minorHAnsi"/>
      <w:color w:val="1F497D" w:themeColor="text2"/>
      <w:szCs w:val="28"/>
      <w:lang w:val="en-US"/>
    </w:rPr>
  </w:style>
  <w:style w:type="paragraph" w:styleId="Date">
    <w:name w:val="Date"/>
    <w:basedOn w:val="Normal"/>
    <w:next w:val="Normal"/>
    <w:link w:val="DateChar"/>
    <w:uiPriority w:val="99"/>
    <w:rsid w:val="00DF7F41"/>
    <w:pPr>
      <w:spacing w:before="120" w:after="200" w:line="271" w:lineRule="auto"/>
      <w:ind w:right="720"/>
    </w:pPr>
    <w:rPr>
      <w:rFonts w:asciiTheme="minorHAnsi" w:eastAsiaTheme="minorEastAsia" w:hAnsiTheme="minorHAnsi"/>
      <w:color w:val="1F497D" w:themeColor="text2"/>
      <w:szCs w:val="28"/>
      <w:lang w:val="en-US"/>
    </w:rPr>
  </w:style>
  <w:style w:type="character" w:customStyle="1" w:styleId="DateChar">
    <w:name w:val="Date Char"/>
    <w:basedOn w:val="DefaultParagraphFont"/>
    <w:link w:val="Date"/>
    <w:uiPriority w:val="99"/>
    <w:rsid w:val="00DF7F41"/>
    <w:rPr>
      <w:rFonts w:eastAsiaTheme="minorEastAsia"/>
      <w:color w:val="1F497D" w:themeColor="text2"/>
      <w:sz w:val="24"/>
      <w:szCs w:val="28"/>
      <w:lang w:val="en-US"/>
    </w:rPr>
  </w:style>
  <w:style w:type="paragraph" w:styleId="Signature">
    <w:name w:val="Signature"/>
    <w:basedOn w:val="Normal"/>
    <w:link w:val="SignatureChar"/>
    <w:autoRedefine/>
    <w:uiPriority w:val="99"/>
    <w:qFormat/>
    <w:rsid w:val="00DF7F41"/>
    <w:pPr>
      <w:spacing w:before="120" w:after="200" w:line="271" w:lineRule="auto"/>
      <w:ind w:right="720"/>
    </w:pPr>
    <w:rPr>
      <w:rFonts w:asciiTheme="minorHAnsi" w:eastAsiaTheme="minorEastAsia" w:hAnsiTheme="minorHAnsi"/>
      <w:color w:val="1F497D" w:themeColor="text2"/>
      <w:szCs w:val="28"/>
      <w:lang w:val="en-US" w:bidi="en-GB"/>
    </w:rPr>
  </w:style>
  <w:style w:type="character" w:customStyle="1" w:styleId="SignatureChar">
    <w:name w:val="Signature Char"/>
    <w:basedOn w:val="DefaultParagraphFont"/>
    <w:link w:val="Signature"/>
    <w:uiPriority w:val="99"/>
    <w:rsid w:val="00DF7F41"/>
    <w:rPr>
      <w:rFonts w:eastAsiaTheme="minorEastAsia"/>
      <w:color w:val="1F497D" w:themeColor="text2"/>
      <w:sz w:val="24"/>
      <w:szCs w:val="28"/>
      <w:lang w:val="en-US" w:bidi="en-GB"/>
    </w:rPr>
  </w:style>
  <w:style w:type="paragraph" w:styleId="TOC4">
    <w:name w:val="toc 4"/>
    <w:basedOn w:val="Normal"/>
    <w:next w:val="Normal"/>
    <w:autoRedefine/>
    <w:uiPriority w:val="39"/>
    <w:unhideWhenUsed/>
    <w:rsid w:val="00D20CD9"/>
    <w:pPr>
      <w:spacing w:after="100" w:line="259" w:lineRule="auto"/>
      <w:ind w:left="660"/>
    </w:pPr>
    <w:rPr>
      <w:rFonts w:asciiTheme="minorHAnsi" w:eastAsiaTheme="minorEastAsia" w:hAnsiTheme="minorHAnsi"/>
      <w:sz w:val="22"/>
      <w:lang w:eastAsia="en-GB"/>
    </w:rPr>
  </w:style>
  <w:style w:type="paragraph" w:styleId="TOC5">
    <w:name w:val="toc 5"/>
    <w:basedOn w:val="Normal"/>
    <w:next w:val="Normal"/>
    <w:autoRedefine/>
    <w:uiPriority w:val="39"/>
    <w:unhideWhenUsed/>
    <w:rsid w:val="00D20CD9"/>
    <w:pPr>
      <w:spacing w:after="100" w:line="259" w:lineRule="auto"/>
      <w:ind w:left="880"/>
    </w:pPr>
    <w:rPr>
      <w:rFonts w:asciiTheme="minorHAnsi" w:eastAsiaTheme="minorEastAsia" w:hAnsiTheme="minorHAnsi"/>
      <w:sz w:val="22"/>
      <w:lang w:eastAsia="en-GB"/>
    </w:rPr>
  </w:style>
  <w:style w:type="paragraph" w:styleId="TOC6">
    <w:name w:val="toc 6"/>
    <w:basedOn w:val="Normal"/>
    <w:next w:val="Normal"/>
    <w:autoRedefine/>
    <w:uiPriority w:val="39"/>
    <w:unhideWhenUsed/>
    <w:rsid w:val="00D20CD9"/>
    <w:pPr>
      <w:spacing w:after="100" w:line="259" w:lineRule="auto"/>
      <w:ind w:left="1100"/>
    </w:pPr>
    <w:rPr>
      <w:rFonts w:asciiTheme="minorHAnsi" w:eastAsiaTheme="minorEastAsia" w:hAnsiTheme="minorHAnsi"/>
      <w:sz w:val="22"/>
      <w:lang w:eastAsia="en-GB"/>
    </w:rPr>
  </w:style>
  <w:style w:type="paragraph" w:styleId="TOC7">
    <w:name w:val="toc 7"/>
    <w:basedOn w:val="Normal"/>
    <w:next w:val="Normal"/>
    <w:autoRedefine/>
    <w:uiPriority w:val="39"/>
    <w:unhideWhenUsed/>
    <w:rsid w:val="00D20CD9"/>
    <w:pPr>
      <w:spacing w:after="100" w:line="259" w:lineRule="auto"/>
      <w:ind w:left="1320"/>
    </w:pPr>
    <w:rPr>
      <w:rFonts w:asciiTheme="minorHAnsi" w:eastAsiaTheme="minorEastAsia" w:hAnsiTheme="minorHAnsi"/>
      <w:sz w:val="22"/>
      <w:lang w:eastAsia="en-GB"/>
    </w:rPr>
  </w:style>
  <w:style w:type="paragraph" w:styleId="TOC8">
    <w:name w:val="toc 8"/>
    <w:basedOn w:val="Normal"/>
    <w:next w:val="Normal"/>
    <w:autoRedefine/>
    <w:uiPriority w:val="39"/>
    <w:unhideWhenUsed/>
    <w:rsid w:val="00D20CD9"/>
    <w:pPr>
      <w:spacing w:after="100" w:line="259" w:lineRule="auto"/>
      <w:ind w:left="1540"/>
    </w:pPr>
    <w:rPr>
      <w:rFonts w:asciiTheme="minorHAnsi" w:eastAsiaTheme="minorEastAsia" w:hAnsiTheme="minorHAnsi"/>
      <w:sz w:val="22"/>
      <w:lang w:eastAsia="en-GB"/>
    </w:rPr>
  </w:style>
  <w:style w:type="paragraph" w:styleId="TOC9">
    <w:name w:val="toc 9"/>
    <w:basedOn w:val="Normal"/>
    <w:next w:val="Normal"/>
    <w:autoRedefine/>
    <w:uiPriority w:val="39"/>
    <w:unhideWhenUsed/>
    <w:rsid w:val="00D20CD9"/>
    <w:pPr>
      <w:spacing w:after="100" w:line="259" w:lineRule="auto"/>
      <w:ind w:left="1760"/>
    </w:pPr>
    <w:rPr>
      <w:rFonts w:asciiTheme="minorHAnsi" w:eastAsiaTheme="minorEastAsia" w:hAnsiTheme="minorHAnsi"/>
      <w:sz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309759">
      <w:bodyDiv w:val="1"/>
      <w:marLeft w:val="0"/>
      <w:marRight w:val="0"/>
      <w:marTop w:val="0"/>
      <w:marBottom w:val="0"/>
      <w:divBdr>
        <w:top w:val="none" w:sz="0" w:space="0" w:color="auto"/>
        <w:left w:val="none" w:sz="0" w:space="0" w:color="auto"/>
        <w:bottom w:val="none" w:sz="0" w:space="0" w:color="auto"/>
        <w:right w:val="none" w:sz="0" w:space="0" w:color="auto"/>
      </w:divBdr>
    </w:div>
    <w:div w:id="158468909">
      <w:bodyDiv w:val="1"/>
      <w:marLeft w:val="0"/>
      <w:marRight w:val="0"/>
      <w:marTop w:val="0"/>
      <w:marBottom w:val="0"/>
      <w:divBdr>
        <w:top w:val="none" w:sz="0" w:space="0" w:color="auto"/>
        <w:left w:val="none" w:sz="0" w:space="0" w:color="auto"/>
        <w:bottom w:val="none" w:sz="0" w:space="0" w:color="auto"/>
        <w:right w:val="none" w:sz="0" w:space="0" w:color="auto"/>
      </w:divBdr>
    </w:div>
    <w:div w:id="324090269">
      <w:bodyDiv w:val="1"/>
      <w:marLeft w:val="0"/>
      <w:marRight w:val="0"/>
      <w:marTop w:val="0"/>
      <w:marBottom w:val="0"/>
      <w:divBdr>
        <w:top w:val="none" w:sz="0" w:space="0" w:color="auto"/>
        <w:left w:val="none" w:sz="0" w:space="0" w:color="auto"/>
        <w:bottom w:val="none" w:sz="0" w:space="0" w:color="auto"/>
        <w:right w:val="none" w:sz="0" w:space="0" w:color="auto"/>
      </w:divBdr>
    </w:div>
    <w:div w:id="441917099">
      <w:bodyDiv w:val="1"/>
      <w:marLeft w:val="0"/>
      <w:marRight w:val="0"/>
      <w:marTop w:val="0"/>
      <w:marBottom w:val="0"/>
      <w:divBdr>
        <w:top w:val="none" w:sz="0" w:space="0" w:color="auto"/>
        <w:left w:val="none" w:sz="0" w:space="0" w:color="auto"/>
        <w:bottom w:val="none" w:sz="0" w:space="0" w:color="auto"/>
        <w:right w:val="none" w:sz="0" w:space="0" w:color="auto"/>
      </w:divBdr>
    </w:div>
    <w:div w:id="606348260">
      <w:bodyDiv w:val="1"/>
      <w:marLeft w:val="0"/>
      <w:marRight w:val="0"/>
      <w:marTop w:val="0"/>
      <w:marBottom w:val="0"/>
      <w:divBdr>
        <w:top w:val="none" w:sz="0" w:space="0" w:color="auto"/>
        <w:left w:val="none" w:sz="0" w:space="0" w:color="auto"/>
        <w:bottom w:val="none" w:sz="0" w:space="0" w:color="auto"/>
        <w:right w:val="none" w:sz="0" w:space="0" w:color="auto"/>
      </w:divBdr>
    </w:div>
    <w:div w:id="610631675">
      <w:bodyDiv w:val="1"/>
      <w:marLeft w:val="0"/>
      <w:marRight w:val="0"/>
      <w:marTop w:val="0"/>
      <w:marBottom w:val="0"/>
      <w:divBdr>
        <w:top w:val="none" w:sz="0" w:space="0" w:color="auto"/>
        <w:left w:val="none" w:sz="0" w:space="0" w:color="auto"/>
        <w:bottom w:val="none" w:sz="0" w:space="0" w:color="auto"/>
        <w:right w:val="none" w:sz="0" w:space="0" w:color="auto"/>
      </w:divBdr>
    </w:div>
    <w:div w:id="704714719">
      <w:bodyDiv w:val="1"/>
      <w:marLeft w:val="0"/>
      <w:marRight w:val="0"/>
      <w:marTop w:val="0"/>
      <w:marBottom w:val="0"/>
      <w:divBdr>
        <w:top w:val="none" w:sz="0" w:space="0" w:color="auto"/>
        <w:left w:val="none" w:sz="0" w:space="0" w:color="auto"/>
        <w:bottom w:val="none" w:sz="0" w:space="0" w:color="auto"/>
        <w:right w:val="none" w:sz="0" w:space="0" w:color="auto"/>
      </w:divBdr>
    </w:div>
    <w:div w:id="861556047">
      <w:bodyDiv w:val="1"/>
      <w:marLeft w:val="0"/>
      <w:marRight w:val="0"/>
      <w:marTop w:val="0"/>
      <w:marBottom w:val="0"/>
      <w:divBdr>
        <w:top w:val="none" w:sz="0" w:space="0" w:color="auto"/>
        <w:left w:val="none" w:sz="0" w:space="0" w:color="auto"/>
        <w:bottom w:val="none" w:sz="0" w:space="0" w:color="auto"/>
        <w:right w:val="none" w:sz="0" w:space="0" w:color="auto"/>
      </w:divBdr>
    </w:div>
    <w:div w:id="1013384875">
      <w:bodyDiv w:val="1"/>
      <w:marLeft w:val="0"/>
      <w:marRight w:val="0"/>
      <w:marTop w:val="0"/>
      <w:marBottom w:val="0"/>
      <w:divBdr>
        <w:top w:val="none" w:sz="0" w:space="0" w:color="auto"/>
        <w:left w:val="none" w:sz="0" w:space="0" w:color="auto"/>
        <w:bottom w:val="none" w:sz="0" w:space="0" w:color="auto"/>
        <w:right w:val="none" w:sz="0" w:space="0" w:color="auto"/>
      </w:divBdr>
    </w:div>
    <w:div w:id="1370253808">
      <w:bodyDiv w:val="1"/>
      <w:marLeft w:val="0"/>
      <w:marRight w:val="0"/>
      <w:marTop w:val="0"/>
      <w:marBottom w:val="0"/>
      <w:divBdr>
        <w:top w:val="none" w:sz="0" w:space="0" w:color="auto"/>
        <w:left w:val="none" w:sz="0" w:space="0" w:color="auto"/>
        <w:bottom w:val="none" w:sz="0" w:space="0" w:color="auto"/>
        <w:right w:val="none" w:sz="0" w:space="0" w:color="auto"/>
      </w:divBdr>
    </w:div>
    <w:div w:id="1393116367">
      <w:bodyDiv w:val="1"/>
      <w:marLeft w:val="0"/>
      <w:marRight w:val="0"/>
      <w:marTop w:val="0"/>
      <w:marBottom w:val="0"/>
      <w:divBdr>
        <w:top w:val="none" w:sz="0" w:space="0" w:color="auto"/>
        <w:left w:val="none" w:sz="0" w:space="0" w:color="auto"/>
        <w:bottom w:val="none" w:sz="0" w:space="0" w:color="auto"/>
        <w:right w:val="none" w:sz="0" w:space="0" w:color="auto"/>
      </w:divBdr>
    </w:div>
    <w:div w:id="1417284293">
      <w:bodyDiv w:val="1"/>
      <w:marLeft w:val="0"/>
      <w:marRight w:val="0"/>
      <w:marTop w:val="0"/>
      <w:marBottom w:val="0"/>
      <w:divBdr>
        <w:top w:val="none" w:sz="0" w:space="0" w:color="auto"/>
        <w:left w:val="none" w:sz="0" w:space="0" w:color="auto"/>
        <w:bottom w:val="none" w:sz="0" w:space="0" w:color="auto"/>
        <w:right w:val="none" w:sz="0" w:space="0" w:color="auto"/>
      </w:divBdr>
    </w:div>
    <w:div w:id="1452825052">
      <w:bodyDiv w:val="1"/>
      <w:marLeft w:val="0"/>
      <w:marRight w:val="0"/>
      <w:marTop w:val="0"/>
      <w:marBottom w:val="0"/>
      <w:divBdr>
        <w:top w:val="none" w:sz="0" w:space="0" w:color="auto"/>
        <w:left w:val="none" w:sz="0" w:space="0" w:color="auto"/>
        <w:bottom w:val="none" w:sz="0" w:space="0" w:color="auto"/>
        <w:right w:val="none" w:sz="0" w:space="0" w:color="auto"/>
      </w:divBdr>
    </w:div>
    <w:div w:id="1588147117">
      <w:bodyDiv w:val="1"/>
      <w:marLeft w:val="0"/>
      <w:marRight w:val="0"/>
      <w:marTop w:val="0"/>
      <w:marBottom w:val="0"/>
      <w:divBdr>
        <w:top w:val="none" w:sz="0" w:space="0" w:color="auto"/>
        <w:left w:val="none" w:sz="0" w:space="0" w:color="auto"/>
        <w:bottom w:val="none" w:sz="0" w:space="0" w:color="auto"/>
        <w:right w:val="none" w:sz="0" w:space="0" w:color="auto"/>
      </w:divBdr>
    </w:div>
    <w:div w:id="1624729963">
      <w:bodyDiv w:val="1"/>
      <w:marLeft w:val="0"/>
      <w:marRight w:val="0"/>
      <w:marTop w:val="0"/>
      <w:marBottom w:val="0"/>
      <w:divBdr>
        <w:top w:val="none" w:sz="0" w:space="0" w:color="auto"/>
        <w:left w:val="none" w:sz="0" w:space="0" w:color="auto"/>
        <w:bottom w:val="none" w:sz="0" w:space="0" w:color="auto"/>
        <w:right w:val="none" w:sz="0" w:space="0" w:color="auto"/>
      </w:divBdr>
    </w:div>
    <w:div w:id="1630433012">
      <w:bodyDiv w:val="1"/>
      <w:marLeft w:val="0"/>
      <w:marRight w:val="0"/>
      <w:marTop w:val="0"/>
      <w:marBottom w:val="0"/>
      <w:divBdr>
        <w:top w:val="none" w:sz="0" w:space="0" w:color="auto"/>
        <w:left w:val="none" w:sz="0" w:space="0" w:color="auto"/>
        <w:bottom w:val="none" w:sz="0" w:space="0" w:color="auto"/>
        <w:right w:val="none" w:sz="0" w:space="0" w:color="auto"/>
      </w:divBdr>
    </w:div>
    <w:div w:id="1750038301">
      <w:bodyDiv w:val="1"/>
      <w:marLeft w:val="0"/>
      <w:marRight w:val="0"/>
      <w:marTop w:val="0"/>
      <w:marBottom w:val="0"/>
      <w:divBdr>
        <w:top w:val="none" w:sz="0" w:space="0" w:color="auto"/>
        <w:left w:val="none" w:sz="0" w:space="0" w:color="auto"/>
        <w:bottom w:val="none" w:sz="0" w:space="0" w:color="auto"/>
        <w:right w:val="none" w:sz="0" w:space="0" w:color="auto"/>
      </w:divBdr>
    </w:div>
    <w:div w:id="1832674825">
      <w:bodyDiv w:val="1"/>
      <w:marLeft w:val="0"/>
      <w:marRight w:val="0"/>
      <w:marTop w:val="0"/>
      <w:marBottom w:val="0"/>
      <w:divBdr>
        <w:top w:val="none" w:sz="0" w:space="0" w:color="auto"/>
        <w:left w:val="none" w:sz="0" w:space="0" w:color="auto"/>
        <w:bottom w:val="none" w:sz="0" w:space="0" w:color="auto"/>
        <w:right w:val="none" w:sz="0" w:space="0" w:color="auto"/>
      </w:divBdr>
    </w:div>
    <w:div w:id="1859811524">
      <w:bodyDiv w:val="1"/>
      <w:marLeft w:val="0"/>
      <w:marRight w:val="0"/>
      <w:marTop w:val="0"/>
      <w:marBottom w:val="0"/>
      <w:divBdr>
        <w:top w:val="none" w:sz="0" w:space="0" w:color="auto"/>
        <w:left w:val="none" w:sz="0" w:space="0" w:color="auto"/>
        <w:bottom w:val="none" w:sz="0" w:space="0" w:color="auto"/>
        <w:right w:val="none" w:sz="0" w:space="0" w:color="auto"/>
      </w:divBdr>
    </w:div>
    <w:div w:id="1903564548">
      <w:bodyDiv w:val="1"/>
      <w:marLeft w:val="0"/>
      <w:marRight w:val="0"/>
      <w:marTop w:val="0"/>
      <w:marBottom w:val="0"/>
      <w:divBdr>
        <w:top w:val="none" w:sz="0" w:space="0" w:color="auto"/>
        <w:left w:val="none" w:sz="0" w:space="0" w:color="auto"/>
        <w:bottom w:val="none" w:sz="0" w:space="0" w:color="auto"/>
        <w:right w:val="none" w:sz="0" w:space="0" w:color="auto"/>
      </w:divBdr>
    </w:div>
    <w:div w:id="1970896072">
      <w:bodyDiv w:val="1"/>
      <w:marLeft w:val="0"/>
      <w:marRight w:val="0"/>
      <w:marTop w:val="0"/>
      <w:marBottom w:val="0"/>
      <w:divBdr>
        <w:top w:val="none" w:sz="0" w:space="0" w:color="auto"/>
        <w:left w:val="none" w:sz="0" w:space="0" w:color="auto"/>
        <w:bottom w:val="none" w:sz="0" w:space="0" w:color="auto"/>
        <w:right w:val="none" w:sz="0" w:space="0" w:color="auto"/>
      </w:divBdr>
    </w:div>
    <w:div w:id="2031831327">
      <w:bodyDiv w:val="1"/>
      <w:marLeft w:val="0"/>
      <w:marRight w:val="0"/>
      <w:marTop w:val="0"/>
      <w:marBottom w:val="0"/>
      <w:divBdr>
        <w:top w:val="none" w:sz="0" w:space="0" w:color="auto"/>
        <w:left w:val="none" w:sz="0" w:space="0" w:color="auto"/>
        <w:bottom w:val="none" w:sz="0" w:space="0" w:color="auto"/>
        <w:right w:val="none" w:sz="0" w:space="0" w:color="auto"/>
      </w:divBdr>
    </w:div>
    <w:div w:id="2073187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3.png"/><Relationship Id="rId68" Type="http://schemas.openxmlformats.org/officeDocument/2006/relationships/hyperlink" Target="https://www.ulh.nhs.uk/news/plans-for-bostons-emergency-department-are-unveiled/" TargetMode="External"/><Relationship Id="rId84" Type="http://schemas.openxmlformats.org/officeDocument/2006/relationships/image" Target="media/image55.png"/><Relationship Id="rId89" Type="http://schemas.openxmlformats.org/officeDocument/2006/relationships/image" Target="media/image60.png"/><Relationship Id="rId112" Type="http://schemas.openxmlformats.org/officeDocument/2006/relationships/image" Target="media/image75.emf"/><Relationship Id="rId16" Type="http://schemas.openxmlformats.org/officeDocument/2006/relationships/hyperlink" Target="mailto:lccg.office@nhs.net" TargetMode="External"/><Relationship Id="rId107" Type="http://schemas.openxmlformats.org/officeDocument/2006/relationships/package" Target="embeddings/Microsoft_Excel_Worksheet6.xlsx"/><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hyperlink" Target="http://www.nationalarchives.gov.uk/doc/open-government-licence/" TargetMode="External"/><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package" Target="embeddings/Microsoft_Word_Document.docx"/><Relationship Id="rId66" Type="http://schemas.openxmlformats.org/officeDocument/2006/relationships/image" Target="media/image46.png"/><Relationship Id="rId74" Type="http://schemas.openxmlformats.org/officeDocument/2006/relationships/hyperlink" Target="https://www.ulh.nhs.uk/news/work-to-enable-the-transformation-of-pilgrim-emergency-department-is-set-to-begin/" TargetMode="External"/><Relationship Id="rId79" Type="http://schemas.openxmlformats.org/officeDocument/2006/relationships/image" Target="media/image50.png"/><Relationship Id="rId87" Type="http://schemas.openxmlformats.org/officeDocument/2006/relationships/image" Target="media/image58.png"/><Relationship Id="rId102" Type="http://schemas.openxmlformats.org/officeDocument/2006/relationships/image" Target="media/image70.emf"/><Relationship Id="rId110" Type="http://schemas.openxmlformats.org/officeDocument/2006/relationships/image" Target="media/image74.emf"/><Relationship Id="rId115"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41.png"/><Relationship Id="rId82" Type="http://schemas.openxmlformats.org/officeDocument/2006/relationships/image" Target="media/image53.png"/><Relationship Id="rId90" Type="http://schemas.openxmlformats.org/officeDocument/2006/relationships/image" Target="media/image61.png"/><Relationship Id="rId95" Type="http://schemas.openxmlformats.org/officeDocument/2006/relationships/image" Target="media/image66.emf"/><Relationship Id="rId19" Type="http://schemas.openxmlformats.org/officeDocument/2006/relationships/image" Target="media/image10.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mailto:Gateway.Helpdesk@ipa.gov.uk" TargetMode="External"/><Relationship Id="rId35" Type="http://schemas.openxmlformats.org/officeDocument/2006/relationships/hyperlink" Target="https://www.gov.uk/government/publications?departments%5B%5D=infrastructure-and-projects-authority" TargetMode="External"/><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8.png"/><Relationship Id="rId64" Type="http://schemas.openxmlformats.org/officeDocument/2006/relationships/image" Target="media/image44.png"/><Relationship Id="rId69" Type="http://schemas.openxmlformats.org/officeDocument/2006/relationships/hyperlink" Target="https://www.ulh.nhs.uk/news/work-to-enable-the-transformation-of-pilgrim-emergency-department-is-set-to-begin/" TargetMode="External"/><Relationship Id="rId77" Type="http://schemas.openxmlformats.org/officeDocument/2006/relationships/image" Target="media/image48.png"/><Relationship Id="rId100" Type="http://schemas.openxmlformats.org/officeDocument/2006/relationships/package" Target="embeddings/Microsoft_Excel_Worksheet3.xlsx"/><Relationship Id="rId105" Type="http://schemas.openxmlformats.org/officeDocument/2006/relationships/package" Target="embeddings/Microsoft_Excel_Worksheet5.xlsx"/><Relationship Id="rId113" Type="http://schemas.openxmlformats.org/officeDocument/2006/relationships/package" Target="embeddings/Microsoft_Word_Document7.docx"/><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hyperlink" Target="https://www.ulh.nhs.uk/news/trust-welcomes-new-funding-boost-for-pilgrim-hospital-ae-during-visit-by-prime-minister/" TargetMode="External"/><Relationship Id="rId80" Type="http://schemas.openxmlformats.org/officeDocument/2006/relationships/image" Target="media/image51.png"/><Relationship Id="rId85" Type="http://schemas.openxmlformats.org/officeDocument/2006/relationships/image" Target="media/image56.png"/><Relationship Id="rId93" Type="http://schemas.openxmlformats.org/officeDocument/2006/relationships/image" Target="media/image64.png"/><Relationship Id="rId98" Type="http://schemas.openxmlformats.org/officeDocument/2006/relationships/package" Target="embeddings/Microsoft_Excel_Worksheet2.xlsx"/><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hyperlink" Target="mailto:psi@nationalarchives.gsi.gov.uk" TargetMode="External"/><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0.emf"/><Relationship Id="rId67" Type="http://schemas.openxmlformats.org/officeDocument/2006/relationships/hyperlink" Target="https://www.ulh.nhs.uk/news/trust-welcomes-new-funding-boost-for-pilgrim-hospital-ae-during-visit-by-prime-minister/" TargetMode="External"/><Relationship Id="rId103" Type="http://schemas.openxmlformats.org/officeDocument/2006/relationships/package" Target="embeddings/Microsoft_Excel_Worksheet4.xlsx"/><Relationship Id="rId108" Type="http://schemas.openxmlformats.org/officeDocument/2006/relationships/image" Target="media/image73.emf"/><Relationship Id="rId116"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24.png"/><Relationship Id="rId54" Type="http://schemas.openxmlformats.org/officeDocument/2006/relationships/image" Target="media/image37.emf"/><Relationship Id="rId62" Type="http://schemas.openxmlformats.org/officeDocument/2006/relationships/image" Target="media/image42.png"/><Relationship Id="rId70" Type="http://schemas.openxmlformats.org/officeDocument/2006/relationships/hyperlink" Target="https://www.ulh.nhs.uk/news/trust-welcomes-new-funding-boost-for-pilgrim-hospital-ae-during-visit-by-prime-minister/" TargetMode="External"/><Relationship Id="rId75" Type="http://schemas.openxmlformats.org/officeDocument/2006/relationships/hyperlink" Target="http://ulhintranet/communications-toolkit" TargetMode="External"/><Relationship Id="rId83" Type="http://schemas.openxmlformats.org/officeDocument/2006/relationships/image" Target="media/image54.png"/><Relationship Id="rId88" Type="http://schemas.openxmlformats.org/officeDocument/2006/relationships/image" Target="media/image59.png"/><Relationship Id="rId91" Type="http://schemas.openxmlformats.org/officeDocument/2006/relationships/image" Target="media/image62.png"/><Relationship Id="rId96" Type="http://schemas.openxmlformats.org/officeDocument/2006/relationships/package" Target="embeddings/Microsoft_Word_Document1.docx"/><Relationship Id="rId111"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lccg.office@nhs.net" TargetMode="Externa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s://www.gov.uk/government/organisations/infrastructure-and-projects-authority" TargetMode="External"/><Relationship Id="rId49" Type="http://schemas.openxmlformats.org/officeDocument/2006/relationships/image" Target="media/image32.png"/><Relationship Id="rId57" Type="http://schemas.openxmlformats.org/officeDocument/2006/relationships/image" Target="media/image39.emf"/><Relationship Id="rId106" Type="http://schemas.openxmlformats.org/officeDocument/2006/relationships/image" Target="media/image72.emf"/><Relationship Id="rId114"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hyperlink" Target="mailto:gateway.helpdesk@ipa.gov.uk" TargetMode="External"/><Relationship Id="rId44" Type="http://schemas.openxmlformats.org/officeDocument/2006/relationships/image" Target="media/image27.png"/><Relationship Id="rId52" Type="http://schemas.openxmlformats.org/officeDocument/2006/relationships/image" Target="media/image35.jpeg"/><Relationship Id="rId60" Type="http://schemas.openxmlformats.org/officeDocument/2006/relationships/package" Target="embeddings/Microsoft_Excel_Worksheet.xlsx"/><Relationship Id="rId65" Type="http://schemas.openxmlformats.org/officeDocument/2006/relationships/image" Target="media/image45.png"/><Relationship Id="rId73" Type="http://schemas.openxmlformats.org/officeDocument/2006/relationships/hyperlink" Target="https://www.ulh.nhs.uk/news/plans-for-bostons-emergency-department-are-unveiled/" TargetMode="External"/><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image" Target="media/image57.png"/><Relationship Id="rId94" Type="http://schemas.openxmlformats.org/officeDocument/2006/relationships/image" Target="media/image65.png"/><Relationship Id="rId99" Type="http://schemas.openxmlformats.org/officeDocument/2006/relationships/image" Target="media/image68.emf"/><Relationship Id="rId101" Type="http://schemas.openxmlformats.org/officeDocument/2006/relationships/image" Target="media/image6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22.png"/><Relationship Id="rId109" Type="http://schemas.openxmlformats.org/officeDocument/2006/relationships/oleObject" Target="embeddings/oleObject1.bin"/><Relationship Id="rId34" Type="http://schemas.openxmlformats.org/officeDocument/2006/relationships/hyperlink" Target="mailto:Gateway.Helpdesk@ipa.gov.uk" TargetMode="External"/><Relationship Id="rId50" Type="http://schemas.openxmlformats.org/officeDocument/2006/relationships/image" Target="media/image33.png"/><Relationship Id="rId55" Type="http://schemas.openxmlformats.org/officeDocument/2006/relationships/hyperlink" Target="http://www.rcem.ac.uk/RCEM/Quality_Policy/Clinical_Standards_Guidance/RCEM_Guidance/RCEM/Quality-Policy/Clinical_Standards_Guidance/RCEM_Guidance.aspx" TargetMode="External"/><Relationship Id="rId76" Type="http://schemas.openxmlformats.org/officeDocument/2006/relationships/image" Target="media/image47.png"/><Relationship Id="rId97" Type="http://schemas.openxmlformats.org/officeDocument/2006/relationships/image" Target="media/image67.emf"/><Relationship Id="rId104" Type="http://schemas.openxmlformats.org/officeDocument/2006/relationships/image" Target="media/image71.emf"/><Relationship Id="rId7" Type="http://schemas.openxmlformats.org/officeDocument/2006/relationships/endnotes" Target="endnotes.xml"/><Relationship Id="rId71" Type="http://schemas.openxmlformats.org/officeDocument/2006/relationships/hyperlink" Target="https://www.ulh.nhs.uk/news/trust-welcomes-new-funding-boost-for-pilgrim-hospital-ae-during-visit-by-prime-minister/" TargetMode="External"/><Relationship Id="rId92"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C9836C40F7B41AF8EC846897A68B2FC"/>
        <w:category>
          <w:name w:val="General"/>
          <w:gallery w:val="placeholder"/>
        </w:category>
        <w:types>
          <w:type w:val="bbPlcHdr"/>
        </w:types>
        <w:behaviors>
          <w:behavior w:val="content"/>
        </w:behaviors>
        <w:guid w:val="{8BB3294A-9E3D-45A0-A0CA-E9749354364A}"/>
      </w:docPartPr>
      <w:docPartBody>
        <w:p w:rsidR="00FE16C6" w:rsidRDefault="00EF69EA" w:rsidP="00EF69EA">
          <w:pPr>
            <w:pStyle w:val="CC9836C40F7B41AF8EC846897A68B2FC"/>
          </w:pPr>
          <w:r w:rsidRPr="001C66AD">
            <w:rPr>
              <w:lang w:bidi="en-GB"/>
            </w:rPr>
            <w:t>[</w:t>
          </w:r>
          <w:r w:rsidRPr="001C66AD">
            <w:rPr>
              <w:rStyle w:val="PlaceholderText"/>
              <w:lang w:bidi="en-GB"/>
            </w:rPr>
            <w:t>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Perpetua">
    <w:panose1 w:val="02020502060401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69EA"/>
    <w:rsid w:val="001636A3"/>
    <w:rsid w:val="001D3845"/>
    <w:rsid w:val="002B5B01"/>
    <w:rsid w:val="006D13C0"/>
    <w:rsid w:val="00C835EE"/>
    <w:rsid w:val="00EF69EA"/>
    <w:rsid w:val="00FE16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F69EA"/>
    <w:rPr>
      <w:color w:val="808080"/>
    </w:rPr>
  </w:style>
  <w:style w:type="paragraph" w:customStyle="1" w:styleId="CC9836C40F7B41AF8EC846897A68B2FC">
    <w:name w:val="CC9836C40F7B41AF8EC846897A68B2FC"/>
    <w:rsid w:val="00EF69E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4398D1-C859-4F18-861A-784BACCF15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200</Pages>
  <Words>30235</Words>
  <Characters>172343</Characters>
  <Application>Microsoft Office Word</Application>
  <DocSecurity>0</DocSecurity>
  <Lines>1436</Lines>
  <Paragraphs>404</Paragraphs>
  <ScaleCrop>false</ScaleCrop>
  <HeadingPairs>
    <vt:vector size="2" baseType="variant">
      <vt:variant>
        <vt:lpstr>Title</vt:lpstr>
      </vt:variant>
      <vt:variant>
        <vt:i4>1</vt:i4>
      </vt:variant>
    </vt:vector>
  </HeadingPairs>
  <TitlesOfParts>
    <vt:vector size="1" baseType="lpstr">
      <vt:lpstr/>
    </vt:vector>
  </TitlesOfParts>
  <Company>United Lincolnshire Hospitals NHS Trust</Company>
  <LinksUpToDate>false</LinksUpToDate>
  <CharactersWithSpaces>202174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PRYDDERCH Andrew (ULHT)</dc:creator>
  <cp:keywords/>
  <dc:description/>
  <cp:lastModifiedBy>Andrew Prydderch</cp:lastModifiedBy>
  <cp:revision>5</cp:revision>
  <dcterms:created xsi:type="dcterms:W3CDTF">2022-08-25T09:09:00Z</dcterms:created>
  <dcterms:modified xsi:type="dcterms:W3CDTF">2022-08-25T11:10:00Z</dcterms:modified>
</cp:coreProperties>
</file>